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8"/>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line="240" w:lineRule="auto"/>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65.020.20</w:t>
            </w:r>
            <w:r>
              <w:rPr>
                <w:rFonts w:ascii="黑体" w:hAnsi="黑体" w:eastAsia="黑体"/>
                <w:sz w:val="21"/>
                <w:szCs w:val="21"/>
              </w:rPr>
              <w:fldChar w:fldCharType="end"/>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tbl>
            <w:tblPr>
              <w:tblStyle w:val="27"/>
              <w:tblpPr w:vertAnchor="page" w:horzAnchor="margin" w:tblpX="1" w:tblpY="341"/>
              <w:tblOverlap w:val="never"/>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113" w:type="dxa"/>
              </w:tblCellMar>
            </w:tblPr>
            <w:tblGrid>
              <w:gridCol w:w="9242"/>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113" w:type="dxa"/>
                </w:tblCellMar>
              </w:tblPrEx>
              <w:trPr>
                <w:trHeight w:val="1021" w:hRule="exact"/>
              </w:trPr>
              <w:tc>
                <w:tcPr>
                  <w:tcW w:w="9242" w:type="dxa"/>
                  <w:vAlign w:val="center"/>
                </w:tcPr>
                <w:p>
                  <w:pPr>
                    <w:pStyle w:val="49"/>
                    <w:framePr w:wrap="notBeside" w:vAnchor="page" w:hAnchor="page" w:x="1372" w:y="568"/>
                    <w:ind w:left="420" w:right="624"/>
                    <w:rPr>
                      <w:rFonts w:ascii="宋体" w:hAnsi="宋体"/>
                      <w:sz w:val="28"/>
                      <w:szCs w:val="28"/>
                    </w:rPr>
                  </w:pPr>
                  <w:r>
                    <w:rPr>
                      <w:sz w:val="21"/>
                      <w:szCs w:val="21"/>
                    </w:rPr>
                    <w:t xml:space="preserve"> </w:t>
                  </w:r>
                </w:p>
              </w:tc>
            </w:tr>
          </w:tbl>
          <w:p>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B 05</w:t>
            </w:r>
            <w:r>
              <w:rPr>
                <w:rFonts w:ascii="黑体" w:hAnsi="黑体" w:eastAsia="黑体"/>
                <w:sz w:val="21"/>
                <w:szCs w:val="21"/>
              </w:rPr>
              <w:fldChar w:fldCharType="end"/>
            </w:r>
            <w:bookmarkEnd w:id="1"/>
          </w:p>
        </w:tc>
      </w:tr>
    </w:tbl>
    <w:p>
      <w:pPr>
        <w:pStyle w:val="50"/>
        <w:framePr w:w="9639" w:h="1123" w:hRule="exact" w:hSpace="181" w:vSpace="181" w:wrap="around" w:hAnchor="page" w:x="1305" w:y="2269"/>
        <w:rPr>
          <w:rFonts w:ascii="黑体" w:hAnsi="黑体" w:eastAsia="黑体"/>
          <w:b w:val="0"/>
          <w:bCs w:val="0"/>
          <w:w w:val="100"/>
          <w:sz w:val="72"/>
          <w:szCs w:val="72"/>
        </w:rPr>
      </w:pPr>
      <w:bookmarkStart w:id="2" w:name="_Hlk26473981"/>
      <w:r>
        <w:rPr>
          <w:rFonts w:hint="eastAsia" w:ascii="黑体" w:eastAsia="黑体"/>
          <w:b w:val="0"/>
          <w:w w:val="100"/>
          <w:sz w:val="72"/>
          <w:szCs w:val="72"/>
        </w:rPr>
        <w:t>团体</w:t>
      </w:r>
      <w:r>
        <w:rPr>
          <w:rFonts w:hint="eastAsia" w:ascii="黑体" w:hAnsi="黑体" w:eastAsia="黑体"/>
          <w:b w:val="0"/>
          <w:bCs w:val="0"/>
          <w:w w:val="100"/>
          <w:sz w:val="72"/>
          <w:szCs w:val="72"/>
        </w:rPr>
        <w:t>标准</w:t>
      </w:r>
    </w:p>
    <w:bookmarkEnd w:id="2"/>
    <w:p>
      <w:pPr>
        <w:pStyle w:val="195"/>
        <w:framePr w:y="3701"/>
      </w:pPr>
      <w:r>
        <w:t>T/</w:t>
      </w:r>
      <w:r>
        <w:fldChar w:fldCharType="begin">
          <w:ffData>
            <w:name w:val="文字1"/>
            <w:enabled/>
            <w:calcOnExit w:val="0"/>
            <w:textInput>
              <w:default w:val="XXX"/>
            </w:textInput>
          </w:ffData>
        </w:fldChar>
      </w:r>
      <w:bookmarkStart w:id="3" w:name="文字1"/>
      <w:r>
        <w:instrText xml:space="preserve"> FORMTEXT </w:instrText>
      </w:r>
      <w:r>
        <w:fldChar w:fldCharType="separate"/>
      </w:r>
      <w:r>
        <w:t>QHNX</w:t>
      </w:r>
      <w:r>
        <w:fldChar w:fldCharType="end"/>
      </w:r>
      <w:bookmarkEnd w:id="3"/>
      <w:r>
        <w:t xml:space="preserve"> </w:t>
      </w:r>
      <w:r>
        <w:fldChar w:fldCharType="begin">
          <w:ffData>
            <w:name w:val="NSTD_CODE_F"/>
            <w:enabled/>
            <w:calcOnExit w:val="0"/>
            <w:textInput>
              <w:default w:val="XXXX"/>
            </w:textInput>
          </w:ffData>
        </w:fldChar>
      </w:r>
      <w:bookmarkStart w:id="4" w:name="NSTD_CODE_F"/>
      <w:r>
        <w:instrText xml:space="preserve"> FORMTEXT </w:instrText>
      </w:r>
      <w:r>
        <w:fldChar w:fldCharType="separate"/>
      </w:r>
      <w:r>
        <w:t>XXXX</w:t>
      </w:r>
      <w:r>
        <w:fldChar w:fldCharType="end"/>
      </w:r>
      <w:bookmarkEnd w:id="4"/>
      <w:r>
        <w:rPr>
          <w:rFonts w:hAnsi="黑体"/>
        </w:rPr>
        <w:t>—</w:t>
      </w:r>
      <w:r>
        <w:fldChar w:fldCharType="begin">
          <w:ffData>
            <w:name w:val="NSTD_CODE_B"/>
            <w:enabled/>
            <w:calcOnExit w:val="0"/>
            <w:textInput>
              <w:default w:val="XXXX"/>
            </w:textInput>
          </w:ffData>
        </w:fldChar>
      </w:r>
      <w:bookmarkStart w:id="5" w:name="NSTD_CODE_B"/>
      <w:r>
        <w:instrText xml:space="preserve"> FORMTEXT </w:instrText>
      </w:r>
      <w:r>
        <w:fldChar w:fldCharType="separate"/>
      </w:r>
      <w:r>
        <w:t>2026</w:t>
      </w:r>
      <w:r>
        <w:fldChar w:fldCharType="end"/>
      </w:r>
      <w:bookmarkEnd w:id="5"/>
    </w:p>
    <w:p>
      <w:pPr>
        <w:pStyle w:val="196"/>
        <w:framePr w:y="3701"/>
        <w:rPr>
          <w:rFonts w:hAnsi="黑体"/>
        </w:rPr>
      </w:pPr>
      <w:r>
        <w:rPr>
          <w:rFonts w:hAnsi="黑体"/>
        </w:rPr>
        <w:fldChar w:fldCharType="begin">
          <w:ffData>
            <w:name w:val="OSTD_CODE"/>
            <w:enabled/>
            <w:calcOnExit w:val="0"/>
            <w:textInput/>
          </w:ffData>
        </w:fldChar>
      </w:r>
      <w:bookmarkStart w:id="6"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6"/>
    </w:p>
    <w:p>
      <w:pPr>
        <w:spacing w:line="240" w:lineRule="auto"/>
        <w:rPr>
          <w:rFonts w:ascii="黑体" w:hAnsi="黑体" w:eastAsia="黑体"/>
          <w:kern w:val="0"/>
          <w:sz w:val="10"/>
          <w:szCs w:val="10"/>
        </w:rPr>
      </w:pPr>
      <w:r>
        <mc:AlternateContent>
          <mc:Choice Requires="wps">
            <w:drawing>
              <wp:anchor distT="0" distB="0" distL="114300" distR="114300" simplePos="0" relativeHeight="251661312" behindDoc="0" locked="0" layoutInCell="1" allowOverlap="1">
                <wp:simplePos x="0" y="0"/>
                <wp:positionH relativeFrom="column">
                  <wp:posOffset>2123440</wp:posOffset>
                </wp:positionH>
                <wp:positionV relativeFrom="paragraph">
                  <wp:posOffset>-686435</wp:posOffset>
                </wp:positionV>
                <wp:extent cx="3960495" cy="914400"/>
                <wp:effectExtent l="0" t="0" r="0" b="0"/>
                <wp:wrapNone/>
                <wp:docPr id="13" name="首页自画框图3"/>
                <wp:cNvGraphicFramePr/>
                <a:graphic xmlns:a="http://schemas.openxmlformats.org/drawingml/2006/main">
                  <a:graphicData uri="http://schemas.microsoft.com/office/word/2010/wordprocessingShape">
                    <wps:wsp>
                      <wps:cNvSpPr txBox="1"/>
                      <wps:spPr>
                        <a:xfrm>
                          <a:off x="0" y="0"/>
                          <a:ext cx="3960495"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238"/>
                              <w:rPr>
                                <w:w w:val="100"/>
                              </w:rPr>
                            </w:pPr>
                            <w:r>
                              <w:t>T/QHNX</w:t>
                            </w:r>
                          </w:p>
                        </w:txbxContent>
                      </wps:txbx>
                      <wps:bodyPr rot="0" spcFirstLastPara="0" vertOverflow="overflow" horzOverflow="overflow" vert="horz" wrap="square" lIns="0" tIns="0" rIns="91440" bIns="0" numCol="1" spcCol="0" rtlCol="0" fromWordArt="0" anchor="t" anchorCtr="0" forceAA="0" compatLnSpc="1">
                        <a:spAutoFit/>
                      </wps:bodyPr>
                    </wps:wsp>
                  </a:graphicData>
                </a:graphic>
              </wp:anchor>
            </w:drawing>
          </mc:Choice>
          <mc:Fallback>
            <w:pict>
              <v:shape id="首页自画框图3" o:spid="_x0000_s1026" o:spt="202" type="#_x0000_t202" style="position:absolute;left:0pt;margin-left:167.2pt;margin-top:-54.05pt;height:72pt;width:311.85pt;z-index:251661312;mso-width-relative:page;mso-height-relative:page;" filled="f" stroked="f" coordsize="21600,21600" o:gfxdata="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GSZUY2AAAAAsBAAAPAAAA&#10;AAAAAAEAIAAAACIAAABkcnMvZG93bnJldi54bWxQSwECFAAUAAAACACHTuJA7wll7E4CAABxBAAA&#10;DgAAAAAAAAABACAAAAAnAQAAZHJzL2Uyb0RvYy54bWxQSwUGAAAAAAYABgBZAQAA5wUAAAAA&#10;">
                <v:fill on="f" focussize="0,0"/>
                <v:stroke on="f" weight="0.5pt"/>
                <v:imagedata o:title=""/>
                <o:lock v:ext="edit" aspectratio="f"/>
                <v:textbox inset="0mm,0mm,2.54mm,0mm" style="mso-fit-shape-to-text:t;">
                  <w:txbxContent>
                    <w:p>
                      <w:pPr>
                        <w:pStyle w:val="238"/>
                        <w:rPr>
                          <w:w w:val="100"/>
                        </w:rPr>
                      </w:pPr>
                      <w:r>
                        <w:t>T/QHNX</w:t>
                      </w:r>
                    </w:p>
                  </w:txbxContent>
                </v:textbox>
              </v:shape>
            </w:pict>
          </mc:Fallback>
        </mc:AlternateContent>
      </w: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pPr>
        <w:pStyle w:val="50"/>
        <w:framePr w:w="9639" w:h="6976" w:hRule="exact" w:hSpace="0" w:vSpace="0" w:wrap="around" w:hAnchor="page" w:y="6408"/>
        <w:jc w:val="center"/>
        <w:rPr>
          <w:rFonts w:ascii="黑体" w:hAnsi="黑体" w:eastAsia="黑体"/>
          <w:b w:val="0"/>
          <w:bCs w:val="0"/>
          <w:w w:val="100"/>
        </w:rPr>
      </w:pPr>
    </w:p>
    <w:p>
      <w:pPr>
        <w:pStyle w:val="197"/>
        <w:framePr w:h="6974" w:hRule="exact" w:wrap="around" w:x="1419" w:anchorLock="1"/>
      </w:pPr>
      <w:r>
        <w:fldChar w:fldCharType="begin">
          <w:ffData>
            <w:name w:val="CSTD_NAME"/>
            <w:enabled/>
            <w:calcOnExit w:val="0"/>
            <w:textInput>
              <w:default w:val="点击此处添加标准名称"/>
            </w:textInput>
          </w:ffData>
        </w:fldChar>
      </w:r>
      <w:bookmarkStart w:id="7" w:name="CSTD_NAME"/>
      <w:r>
        <w:instrText xml:space="preserve"> FORMTEXT </w:instrText>
      </w:r>
      <w:r>
        <w:fldChar w:fldCharType="separate"/>
      </w:r>
      <w:r>
        <w:t>鲜食蚕豆生产技术规范</w:t>
      </w:r>
      <w:r>
        <w:fldChar w:fldCharType="end"/>
      </w:r>
      <w:bookmarkEnd w:id="7"/>
    </w:p>
    <w:p>
      <w:pPr>
        <w:framePr w:w="9639" w:h="6974" w:hRule="exact" w:wrap="around" w:vAnchor="page" w:hAnchor="page" w:x="1419" w:y="6408" w:anchorLock="1"/>
        <w:ind w:left="-1418"/>
      </w:pPr>
    </w:p>
    <w:p>
      <w:pPr>
        <w:pStyle w:val="125"/>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8" w:name="ESTD_NAME"/>
      <w:r>
        <w:rPr>
          <w:rFonts w:eastAsia="黑体"/>
          <w:szCs w:val="28"/>
        </w:rPr>
        <w:instrText xml:space="preserve"> FORMTEXT </w:instrText>
      </w:r>
      <w:r>
        <w:rPr>
          <w:rFonts w:eastAsia="黑体"/>
          <w:szCs w:val="28"/>
        </w:rPr>
        <w:fldChar w:fldCharType="separate"/>
      </w:r>
      <w:r>
        <w:rPr>
          <w:rFonts w:eastAsia="黑体"/>
          <w:szCs w:val="28"/>
        </w:rPr>
        <w:t>     </w:t>
      </w:r>
      <w:r>
        <w:rPr>
          <w:rFonts w:eastAsia="黑体"/>
          <w:szCs w:val="28"/>
        </w:rPr>
        <w:fldChar w:fldCharType="end"/>
      </w:r>
      <w:bookmarkEnd w:id="8"/>
    </w:p>
    <w:p>
      <w:pPr>
        <w:framePr w:w="9639" w:h="6974" w:hRule="exact" w:wrap="around" w:vAnchor="page" w:hAnchor="page" w:x="1419" w:y="6408" w:anchorLock="1"/>
        <w:spacing w:line="760" w:lineRule="exact"/>
        <w:ind w:left="-1418"/>
      </w:pPr>
    </w:p>
    <w:p>
      <w:pPr>
        <w:pStyle w:val="125"/>
        <w:framePr w:w="9639" w:h="6974" w:hRule="exact" w:wrap="around" w:vAnchor="page" w:hAnchor="page" w:x="1419" w:y="6408" w:anchorLock="1"/>
        <w:textAlignment w:val="bottom"/>
        <w:rPr>
          <w:rFonts w:eastAsia="黑体"/>
          <w:szCs w:val="28"/>
        </w:rPr>
      </w:pPr>
    </w:p>
    <w:p>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6"/>
              <w:listEntry w:val=" "/>
              <w:listEntry w:val="草案版次选择"/>
              <w:listEntry w:val="（工作组讨论稿）"/>
              <w:listEntry w:val="（征求意见稿）"/>
              <w:listEntry w:val="（送审讨论稿）"/>
              <w:listEntry w:val="（送审稿）"/>
              <w:listEntry w:val="（报批稿）"/>
            </w:ddList>
          </w:ffData>
        </w:fldChar>
      </w:r>
      <w:bookmarkStart w:id="9" w:name="下拉1"/>
      <w:r>
        <w:rPr>
          <w:sz w:val="24"/>
          <w:szCs w:val="28"/>
        </w:rPr>
        <w:instrText xml:space="preserve"> FORMDROPDOWN </w:instrText>
      </w:r>
      <w:r>
        <w:rPr>
          <w:sz w:val="24"/>
          <w:szCs w:val="28"/>
        </w:rPr>
        <w:fldChar w:fldCharType="separate"/>
      </w:r>
      <w:r>
        <w:rPr>
          <w:sz w:val="24"/>
          <w:szCs w:val="28"/>
        </w:rPr>
        <w:fldChar w:fldCharType="end"/>
      </w:r>
      <w:bookmarkEnd w:id="9"/>
    </w:p>
    <w:p>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0"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0"/>
    </w:p>
    <w:p>
      <w:pPr>
        <w:pStyle w:val="125"/>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1" w:name="下拉2"/>
      <w:r>
        <w:rPr>
          <w:b/>
          <w:sz w:val="21"/>
          <w:szCs w:val="28"/>
        </w:rPr>
        <w:instrText xml:space="preserve"> FORMDROPDOWN </w:instrText>
      </w:r>
      <w:r>
        <w:rPr>
          <w:b/>
          <w:sz w:val="21"/>
          <w:szCs w:val="28"/>
        </w:rPr>
        <w:fldChar w:fldCharType="separate"/>
      </w:r>
      <w:r>
        <w:rPr>
          <w:b/>
          <w:sz w:val="21"/>
          <w:szCs w:val="28"/>
        </w:rPr>
        <w:fldChar w:fldCharType="end"/>
      </w:r>
      <w:bookmarkEnd w:id="11"/>
    </w:p>
    <w:p>
      <w:pPr>
        <w:pStyle w:val="193"/>
        <w:framePr w:wrap="around" w:y="14176"/>
      </w:pPr>
      <w:r>
        <w:rPr>
          <w:rFonts w:ascii="黑体"/>
        </w:rPr>
        <w:fldChar w:fldCharType="begin">
          <w:ffData>
            <w:name w:val="PLSH_DATE_Y"/>
            <w:enabled/>
            <w:calcOnExit w:val="0"/>
            <w:textInput>
              <w:default w:val="XXXX"/>
              <w:maxLength w:val="4"/>
            </w:textInput>
          </w:ffData>
        </w:fldChar>
      </w:r>
      <w:bookmarkStart w:id="12" w:name="PLSH_DATE_Y"/>
      <w:r>
        <w:rPr>
          <w:rFonts w:ascii="黑体"/>
        </w:rPr>
        <w:instrText xml:space="preserve"> FORMTEXT </w:instrText>
      </w:r>
      <w:r>
        <w:rPr>
          <w:rFonts w:ascii="黑体"/>
        </w:rPr>
        <w:fldChar w:fldCharType="separate"/>
      </w:r>
      <w:r>
        <w:rPr>
          <w:rFonts w:ascii="黑体"/>
        </w:rPr>
        <w:t>2026</w:t>
      </w:r>
      <w:r>
        <w:rPr>
          <w:rFonts w:ascii="黑体"/>
        </w:rPr>
        <w:fldChar w:fldCharType="end"/>
      </w:r>
      <w:bookmarkEnd w:id="12"/>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3"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3"/>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4"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4"/>
      <w:r>
        <w:rPr>
          <w:rFonts w:hint="eastAsia"/>
        </w:rPr>
        <w:t>发布</w:t>
      </w:r>
    </w:p>
    <w:p>
      <w:pPr>
        <w:pStyle w:val="194"/>
        <w:framePr w:wrap="around" w:y="14176"/>
      </w:pPr>
      <w:r>
        <w:rPr>
          <w:rFonts w:ascii="黑体"/>
        </w:rPr>
        <w:fldChar w:fldCharType="begin">
          <w:ffData>
            <w:name w:val="CROT_DATE_Y"/>
            <w:enabled/>
            <w:calcOnExit w:val="0"/>
            <w:textInput>
              <w:default w:val="XXXX"/>
              <w:maxLength w:val="4"/>
            </w:textInput>
          </w:ffData>
        </w:fldChar>
      </w:r>
      <w:bookmarkStart w:id="15" w:name="CROT_DATE_Y"/>
      <w:r>
        <w:rPr>
          <w:rFonts w:ascii="黑体"/>
        </w:rPr>
        <w:instrText xml:space="preserve"> FORMTEXT </w:instrText>
      </w:r>
      <w:r>
        <w:rPr>
          <w:rFonts w:ascii="黑体"/>
        </w:rPr>
        <w:fldChar w:fldCharType="separate"/>
      </w:r>
      <w:r>
        <w:rPr>
          <w:rFonts w:ascii="黑体"/>
        </w:rPr>
        <w:t>2026</w:t>
      </w:r>
      <w:r>
        <w:rPr>
          <w:rFonts w:ascii="黑体"/>
        </w:rPr>
        <w:fldChar w:fldCharType="end"/>
      </w:r>
      <w:bookmarkEnd w:id="15"/>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6"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7"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7"/>
      <w:r>
        <w:rPr>
          <w:rFonts w:hint="eastAsia"/>
        </w:rPr>
        <w:t>实施</w:t>
      </w:r>
    </w:p>
    <w:p>
      <w:pPr>
        <w:pStyle w:val="151"/>
        <w:framePr w:h="584" w:hRule="exact" w:hSpace="181" w:vSpace="181" w:wrap="around" w:y="14800"/>
        <w:rPr>
          <w:rFonts w:hAnsi="黑体"/>
        </w:rPr>
      </w:pPr>
      <w:r>
        <w:rPr>
          <w:rFonts w:hAnsi="黑体"/>
          <w:szCs w:val="36"/>
        </w:rPr>
        <w:fldChar w:fldCharType="begin">
          <w:ffData>
            <w:name w:val="fm"/>
            <w:enabled/>
            <w:calcOnExit w:val="0"/>
            <w:textInput/>
          </w:ffData>
        </w:fldChar>
      </w:r>
      <w:bookmarkStart w:id="18" w:name="fm"/>
      <w:r>
        <w:rPr>
          <w:rFonts w:hAnsi="黑体"/>
          <w:szCs w:val="36"/>
        </w:rPr>
        <w:instrText xml:space="preserve"> FORMTEXT </w:instrText>
      </w:r>
      <w:r>
        <w:rPr>
          <w:rFonts w:hAnsi="黑体"/>
          <w:szCs w:val="36"/>
        </w:rPr>
        <w:fldChar w:fldCharType="separate"/>
      </w:r>
      <w:r>
        <w:rPr>
          <w:rFonts w:hint="eastAsia" w:hAnsi="黑体"/>
          <w:szCs w:val="36"/>
        </w:rPr>
        <w:t>青海省农学会</w:t>
      </w:r>
      <w:r>
        <w:rPr>
          <w:rFonts w:hAnsi="黑体"/>
          <w:szCs w:val="36"/>
        </w:rPr>
        <w:fldChar w:fldCharType="end"/>
      </w:r>
      <w:bookmarkEnd w:id="18"/>
      <w:r>
        <w:rPr>
          <w:rFonts w:ascii="Times New Roman"/>
          <w:w w:val="100"/>
          <w:sz w:val="28"/>
        </w:rPr>
        <w:t>  </w:t>
      </w:r>
      <w:r>
        <w:rPr>
          <w:rStyle w:val="229"/>
          <w:rFonts w:hint="eastAsia" w:hAnsi="黑体"/>
          <w:position w:val="0"/>
        </w:rPr>
        <w:t>发</w:t>
      </w:r>
      <w:r>
        <w:rPr>
          <w:rStyle w:val="229"/>
          <w:rFonts w:hint="eastAsia" w:hAnsi="黑体"/>
          <w:spacing w:val="0"/>
          <w:position w:val="0"/>
        </w:rPr>
        <w:t>布</w:t>
      </w:r>
    </w:p>
    <w:p>
      <w:pPr>
        <w:rPr>
          <w:rFonts w:ascii="宋体" w:hAnsi="宋体"/>
          <w:b/>
          <w:bCs/>
          <w:color w:val="FF0000"/>
          <w:sz w:val="28"/>
          <w:szCs w:val="28"/>
        </w:rPr>
        <w:sectPr>
          <w:headerReference r:id="rId6" w:type="first"/>
          <w:footerReference r:id="rId8" w:type="first"/>
          <w:headerReference r:id="rId5" w:type="default"/>
          <w:footerReference r:id="rId7" w:type="even"/>
          <w:type w:val="continuous"/>
          <w:pgSz w:w="11906" w:h="16838"/>
          <w:pgMar w:top="567" w:right="1134" w:bottom="1134" w:left="1134" w:header="1418" w:footer="1134" w:gutter="284"/>
          <w:cols w:space="425" w:num="1"/>
          <w:titlePg/>
          <w:docGrid w:linePitch="312" w:charSpace="0"/>
        </w:sectPr>
      </w:pPr>
      <w:r>
        <w:rPr>
          <w:rFonts w:hint="eastAsia" w:ascii="宋体" w:hAnsi="宋体"/>
          <w:b/>
          <w:bCs/>
          <w:color w:val="FF0000"/>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pPr>
        <w:pStyle w:val="91"/>
        <w:spacing w:after="360"/>
      </w:pPr>
      <w:bookmarkStart w:id="19" w:name="BookMark1"/>
      <w:bookmarkStart w:id="20" w:name="_Toc231222184"/>
      <w:r>
        <w:rPr>
          <w:rFonts w:hint="eastAsia"/>
          <w:spacing w:val="320"/>
        </w:rPr>
        <w:t>目</w:t>
      </w:r>
      <w:r>
        <w:rPr>
          <w:rFonts w:hint="eastAsia"/>
        </w:rPr>
        <w:t>次</w:t>
      </w:r>
    </w:p>
    <w:p>
      <w:pPr>
        <w:pStyle w:val="19"/>
        <w:tabs>
          <w:tab w:val="right" w:leader="dot" w:pos="9344"/>
        </w:tabs>
        <w:rPr>
          <w:rFonts w:asciiTheme="minorHAnsi" w:hAnsiTheme="minorHAnsi" w:eastAsiaTheme="minorEastAsia" w:cstheme="minorBidi"/>
          <w:szCs w:val="22"/>
        </w:rPr>
      </w:pPr>
      <w:r>
        <w:fldChar w:fldCharType="begin"/>
      </w:r>
      <w:r>
        <w:instrText xml:space="preserve"> TOC \o "1-1" \h \t "标准文件_一级条标题,2,标准文件_附录一级条标题,2," </w:instrText>
      </w:r>
      <w:r>
        <w:fldChar w:fldCharType="separate"/>
      </w:r>
      <w:r>
        <w:fldChar w:fldCharType="begin"/>
      </w:r>
      <w:r>
        <w:instrText xml:space="preserve"> HYPERLINK \l "_Toc231222794" </w:instrText>
      </w:r>
      <w:r>
        <w:fldChar w:fldCharType="separate"/>
      </w:r>
      <w:r>
        <w:rPr>
          <w:rStyle w:val="32"/>
        </w:rPr>
        <w:t>前言</w:t>
      </w:r>
      <w:r>
        <w:tab/>
      </w:r>
      <w:r>
        <w:fldChar w:fldCharType="begin"/>
      </w:r>
      <w:r>
        <w:instrText xml:space="preserve"> PAGEREF _Toc231222794 \h </w:instrText>
      </w:r>
      <w:r>
        <w:fldChar w:fldCharType="separate"/>
      </w:r>
      <w:r>
        <w:t>II</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"_Toc231222795" </w:instrText>
      </w:r>
      <w:r>
        <w:fldChar w:fldCharType="separate"/>
      </w:r>
      <w:r>
        <w:rPr>
          <w:rStyle w:val="32"/>
        </w:rPr>
        <w:t>1  范围</w:t>
      </w:r>
      <w:r>
        <w:tab/>
      </w:r>
      <w:r>
        <w:fldChar w:fldCharType="begin"/>
      </w:r>
      <w:r>
        <w:instrText xml:space="preserve"> PAGEREF _Toc231222795 \h </w:instrText>
      </w:r>
      <w:r>
        <w:fldChar w:fldCharType="separate"/>
      </w:r>
      <w:r>
        <w:t>1</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"_Toc231222796" </w:instrText>
      </w:r>
      <w:r>
        <w:fldChar w:fldCharType="separate"/>
      </w:r>
      <w:r>
        <w:rPr>
          <w:rStyle w:val="32"/>
        </w:rPr>
        <w:t>2  规范性引用文件</w:t>
      </w:r>
      <w:r>
        <w:tab/>
      </w:r>
      <w:r>
        <w:fldChar w:fldCharType="begin"/>
      </w:r>
      <w:r>
        <w:instrText xml:space="preserve"> PAGEREF _Toc231222796 \h </w:instrText>
      </w:r>
      <w:r>
        <w:fldChar w:fldCharType="separate"/>
      </w:r>
      <w:r>
        <w:t>1</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"_Toc231222797" </w:instrText>
      </w:r>
      <w:r>
        <w:fldChar w:fldCharType="separate"/>
      </w:r>
      <w:r>
        <w:rPr>
          <w:rStyle w:val="32"/>
        </w:rPr>
        <w:t>3  术语和定义</w:t>
      </w:r>
      <w:r>
        <w:tab/>
      </w:r>
      <w:r>
        <w:fldChar w:fldCharType="begin"/>
      </w:r>
      <w:r>
        <w:instrText xml:space="preserve"> PAGEREF _Toc231222797 \h </w:instrText>
      </w:r>
      <w:r>
        <w:fldChar w:fldCharType="separate"/>
      </w:r>
      <w:r>
        <w:t>1</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"_Toc231222798" </w:instrText>
      </w:r>
      <w:r>
        <w:fldChar w:fldCharType="separate"/>
      </w:r>
      <w:r>
        <w:rPr>
          <w:rStyle w:val="32"/>
        </w:rPr>
        <w:t>4  产地环境要求</w:t>
      </w:r>
      <w:r>
        <w:tab/>
      </w:r>
      <w:r>
        <w:fldChar w:fldCharType="begin"/>
      </w:r>
      <w:r>
        <w:instrText xml:space="preserve"> PAGEREF _Toc231222798 \h </w:instrText>
      </w:r>
      <w:r>
        <w:fldChar w:fldCharType="separate"/>
      </w:r>
      <w:r>
        <w:t>1</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"_Toc231222799" </w:instrText>
      </w:r>
      <w:r>
        <w:fldChar w:fldCharType="separate"/>
      </w:r>
      <w:r>
        <w:rPr>
          <w:rStyle w:val="32"/>
        </w:rPr>
        <w:t>5  品种选择</w:t>
      </w:r>
      <w:r>
        <w:tab/>
      </w:r>
      <w:r>
        <w:fldChar w:fldCharType="begin"/>
      </w:r>
      <w:r>
        <w:instrText xml:space="preserve"> PAGEREF _Toc231222799 \h </w:instrText>
      </w:r>
      <w:r>
        <w:fldChar w:fldCharType="separate"/>
      </w:r>
      <w:r>
        <w:t>1</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"_Toc231222800" </w:instrText>
      </w:r>
      <w:r>
        <w:fldChar w:fldCharType="separate"/>
      </w:r>
      <w:r>
        <w:rPr>
          <w:rStyle w:val="32"/>
        </w:rPr>
        <w:t>6  产量指标</w:t>
      </w:r>
      <w:r>
        <w:tab/>
      </w:r>
      <w:r>
        <w:fldChar w:fldCharType="begin"/>
      </w:r>
      <w:r>
        <w:instrText xml:space="preserve"> PAGEREF _Toc231222800 \h </w:instrText>
      </w:r>
      <w:r>
        <w:fldChar w:fldCharType="separate"/>
      </w:r>
      <w:r>
        <w:t>1</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"_Toc231222801" </w:instrText>
      </w:r>
      <w:r>
        <w:fldChar w:fldCharType="separate"/>
      </w:r>
      <w:r>
        <w:rPr>
          <w:rStyle w:val="32"/>
        </w:rPr>
        <w:t>7  生产技术</w:t>
      </w:r>
      <w:r>
        <w:tab/>
      </w:r>
      <w:r>
        <w:fldChar w:fldCharType="begin"/>
      </w:r>
      <w:r>
        <w:instrText xml:space="preserve"> PAGEREF _Toc231222801 \h </w:instrText>
      </w:r>
      <w:r>
        <w:fldChar w:fldCharType="separate"/>
      </w:r>
      <w:r>
        <w:t>1</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"_Toc231222802" </w:instrText>
      </w:r>
      <w:r>
        <w:fldChar w:fldCharType="separate"/>
      </w:r>
      <w:r>
        <w:rPr>
          <w:rStyle w:val="32"/>
          <w14:scene3d w14:prst="orthographicFront">
            <w14:lightRig w14:rig="threePt" w14:dir="t">
              <w14:rot w14:lat="0" w14:lon="0" w14:rev="0"/>
            </w14:lightRig>
          </w14:scene3d>
        </w:rPr>
        <w:t xml:space="preserve">7.1 </w:t>
      </w:r>
      <w:r>
        <w:rPr>
          <w:rStyle w:val="32"/>
        </w:rPr>
        <w:t xml:space="preserve"> 播前准备</w:t>
      </w:r>
      <w:r>
        <w:tab/>
      </w:r>
      <w:r>
        <w:fldChar w:fldCharType="begin"/>
      </w:r>
      <w:r>
        <w:instrText xml:space="preserve"> PAGEREF _Toc231222802 \h </w:instrText>
      </w:r>
      <w:r>
        <w:fldChar w:fldCharType="separate"/>
      </w:r>
      <w:r>
        <w:t>1</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"_Toc231222803" </w:instrText>
      </w:r>
      <w:r>
        <w:fldChar w:fldCharType="separate"/>
      </w:r>
      <w:r>
        <w:rPr>
          <w:rStyle w:val="32"/>
          <w14:scene3d w14:prst="orthographicFront">
            <w14:lightRig w14:rig="threePt" w14:dir="t">
              <w14:rot w14:lat="0" w14:lon="0" w14:rev="0"/>
            </w14:lightRig>
          </w14:scene3d>
        </w:rPr>
        <w:t xml:space="preserve">7.2 </w:t>
      </w:r>
      <w:r>
        <w:rPr>
          <w:rStyle w:val="32"/>
        </w:rPr>
        <w:t xml:space="preserve"> 播种</w:t>
      </w:r>
      <w:r>
        <w:tab/>
      </w:r>
      <w:r>
        <w:fldChar w:fldCharType="begin"/>
      </w:r>
      <w:r>
        <w:instrText xml:space="preserve"> PAGEREF _Toc231222803 \h </w:instrText>
      </w:r>
      <w:r>
        <w:fldChar w:fldCharType="separate"/>
      </w:r>
      <w:r>
        <w:t>2</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"_Toc231222804" </w:instrText>
      </w:r>
      <w:r>
        <w:fldChar w:fldCharType="separate"/>
      </w:r>
      <w:r>
        <w:rPr>
          <w:rStyle w:val="32"/>
          <w14:scene3d w14:prst="orthographicFront">
            <w14:lightRig w14:rig="threePt" w14:dir="t">
              <w14:rot w14:lat="0" w14:lon="0" w14:rev="0"/>
            </w14:lightRig>
          </w14:scene3d>
        </w:rPr>
        <w:t xml:space="preserve">7.3 </w:t>
      </w:r>
      <w:r>
        <w:rPr>
          <w:rStyle w:val="32"/>
        </w:rPr>
        <w:t xml:space="preserve"> 田间管理</w:t>
      </w:r>
      <w:r>
        <w:tab/>
      </w:r>
      <w:r>
        <w:fldChar w:fldCharType="begin"/>
      </w:r>
      <w:r>
        <w:instrText xml:space="preserve"> PAGEREF _Toc231222804 \h </w:instrText>
      </w:r>
      <w:r>
        <w:fldChar w:fldCharType="separate"/>
      </w:r>
      <w:r>
        <w:t>2</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"_Toc231222805" </w:instrText>
      </w:r>
      <w:r>
        <w:fldChar w:fldCharType="separate"/>
      </w:r>
      <w:r>
        <w:rPr>
          <w:rStyle w:val="32"/>
          <w14:scene3d w14:prst="orthographicFront">
            <w14:lightRig w14:rig="threePt" w14:dir="t">
              <w14:rot w14:lat="0" w14:lon="0" w14:rev="0"/>
            </w14:lightRig>
          </w14:scene3d>
        </w:rPr>
        <w:t xml:space="preserve">7.4 </w:t>
      </w:r>
      <w:r>
        <w:rPr>
          <w:rStyle w:val="32"/>
        </w:rPr>
        <w:t xml:space="preserve"> 病虫害防治</w:t>
      </w:r>
      <w:r>
        <w:tab/>
      </w:r>
      <w:r>
        <w:fldChar w:fldCharType="begin"/>
      </w:r>
      <w:r>
        <w:instrText xml:space="preserve"> PAGEREF _Toc231222805 \h </w:instrText>
      </w:r>
      <w:r>
        <w:fldChar w:fldCharType="separate"/>
      </w:r>
      <w:r>
        <w:t>2</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"_Toc231222806" </w:instrText>
      </w:r>
      <w:r>
        <w:fldChar w:fldCharType="separate"/>
      </w:r>
      <w:r>
        <w:rPr>
          <w:rStyle w:val="32"/>
        </w:rPr>
        <w:t>8  收获</w:t>
      </w:r>
      <w:r>
        <w:tab/>
      </w:r>
      <w:r>
        <w:fldChar w:fldCharType="begin"/>
      </w:r>
      <w:r>
        <w:instrText xml:space="preserve"> PAGEREF _Toc231222806 \h </w:instrText>
      </w:r>
      <w:r>
        <w:fldChar w:fldCharType="separate"/>
      </w:r>
      <w:r>
        <w:t>3</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"_Toc231222807" </w:instrText>
      </w:r>
      <w:r>
        <w:fldChar w:fldCharType="separate"/>
      </w:r>
      <w:r>
        <w:rPr>
          <w:rStyle w:val="32"/>
        </w:rPr>
        <w:t>附录A（资料性）  推荐鲜食蚕豆品种</w:t>
      </w:r>
      <w:r>
        <w:tab/>
      </w:r>
      <w:r>
        <w:fldChar w:fldCharType="begin"/>
      </w:r>
      <w:r>
        <w:instrText xml:space="preserve"> PAGEREF _Toc231222807 \h </w:instrText>
      </w:r>
      <w:r>
        <w:fldChar w:fldCharType="separate"/>
      </w:r>
      <w:r>
        <w:t>4</w:t>
      </w:r>
      <w:r>
        <w:fldChar w:fldCharType="end"/>
      </w:r>
      <w:r>
        <w:fldChar w:fldCharType="end"/>
      </w:r>
    </w:p>
    <w:p>
      <w:pPr>
        <w:pStyle w:val="91"/>
        <w:spacing w:after="360"/>
        <w:sectPr>
          <w:headerReference r:id="rId9" w:type="default"/>
          <w:footerReference r:id="rId11" w:type="default"/>
          <w:headerReference r:id="rId10" w:type="even"/>
          <w:pgSz w:w="11906" w:h="16838"/>
          <w:pgMar w:top="1928" w:right="1134" w:bottom="1134" w:left="1134" w:header="1418" w:footer="1134" w:gutter="284"/>
          <w:pgNumType w:fmt="upperRoman" w:start="1"/>
          <w:cols w:space="425" w:num="1"/>
          <w:formProt w:val="0"/>
          <w:docGrid w:linePitch="312" w:charSpace="0"/>
        </w:sectPr>
      </w:pPr>
      <w:r>
        <w:fldChar w:fldCharType="end"/>
      </w:r>
    </w:p>
    <w:bookmarkEnd w:id="19"/>
    <w:p>
      <w:pPr>
        <w:pStyle w:val="89"/>
        <w:spacing w:before="560" w:after="360"/>
      </w:pPr>
      <w:bookmarkStart w:id="21" w:name="_Toc231222794"/>
      <w:bookmarkStart w:id="22" w:name="BookMark2"/>
      <w:r>
        <w:rPr>
          <w:spacing w:val="320"/>
        </w:rPr>
        <w:t>前</w:t>
      </w:r>
      <w:r>
        <w:t>言</w:t>
      </w:r>
      <w:bookmarkEnd w:id="20"/>
      <w:bookmarkEnd w:id="21"/>
    </w:p>
    <w:p>
      <w:pPr>
        <w:pStyle w:val="56"/>
        <w:ind w:firstLine="420"/>
      </w:pPr>
      <w:r>
        <w:rPr>
          <w:rFonts w:hint="eastAsia"/>
        </w:rPr>
        <w:t>本文件按照GB/T 1.1—2020《标准化工作导则  第1部分：标准化文件的结构和起草规则》的规定起草。</w:t>
      </w:r>
    </w:p>
    <w:p>
      <w:pPr>
        <w:pStyle w:val="56"/>
        <w:ind w:firstLine="420"/>
      </w:pPr>
      <w:r>
        <w:rPr>
          <w:rFonts w:hint="eastAsia"/>
        </w:rPr>
        <w:t>请注意本文件的某些内容可能涉及专利。本文件的发布机构不承担识别专利的责任。</w:t>
      </w:r>
    </w:p>
    <w:p>
      <w:pPr>
        <w:pStyle w:val="56"/>
        <w:ind w:firstLine="420"/>
      </w:pPr>
      <w:r>
        <w:rPr>
          <w:rFonts w:hint="eastAsia"/>
        </w:rPr>
        <w:t>本文件由青海省农林科学院提出。</w:t>
      </w:r>
    </w:p>
    <w:p>
      <w:pPr>
        <w:pStyle w:val="56"/>
        <w:ind w:firstLine="420"/>
      </w:pPr>
      <w:r>
        <w:rPr>
          <w:rFonts w:hint="eastAsia"/>
        </w:rPr>
        <w:t>本文件由青海省农学会和青海省农林科学院联合发布。</w:t>
      </w:r>
    </w:p>
    <w:p>
      <w:pPr>
        <w:pStyle w:val="56"/>
        <w:ind w:firstLine="420"/>
      </w:pPr>
      <w:r>
        <w:rPr>
          <w:rFonts w:hint="eastAsia"/>
        </w:rPr>
        <w:t>本文件由青海省农学会归口。</w:t>
      </w:r>
    </w:p>
    <w:p>
      <w:pPr>
        <w:pStyle w:val="56"/>
        <w:ind w:firstLine="420"/>
      </w:pPr>
      <w:r>
        <w:rPr>
          <w:rFonts w:hint="eastAsia"/>
        </w:rPr>
        <w:t>本文件起草单位：青海大学农林科学院（青海省农林科学院）、青海省农业技术推广总站、乐都区农业技术推广中心。</w:t>
      </w:r>
    </w:p>
    <w:p>
      <w:pPr>
        <w:pStyle w:val="56"/>
        <w:ind w:firstLine="420"/>
      </w:pPr>
      <w:r>
        <w:rPr>
          <w:rFonts w:hint="eastAsia"/>
        </w:rPr>
        <w:t>本文件主要起草人：滕长才、刘玉皎、侯万伟、郭兴莲、王生、李萍、张纲、邓万香、张红岩、周仙莉、何家家。</w:t>
      </w:r>
    </w:p>
    <w:p>
      <w:pPr>
        <w:pStyle w:val="56"/>
        <w:ind w:firstLine="420"/>
      </w:pPr>
      <w:r>
        <w:rPr>
          <w:rFonts w:hint="eastAsia"/>
        </w:rPr>
        <w:t>本文件由青海省农学会实施。</w:t>
      </w:r>
    </w:p>
    <w:p>
      <w:pPr>
        <w:pStyle w:val="56"/>
        <w:ind w:firstLine="420"/>
      </w:pPr>
    </w:p>
    <w:p>
      <w:pPr>
        <w:pStyle w:val="56"/>
        <w:ind w:firstLine="420"/>
        <w:sectPr>
          <w:pgSz w:w="11906" w:h="16838"/>
          <w:pgMar w:top="1928" w:right="1134" w:bottom="1134" w:left="1134" w:header="1418" w:footer="1134" w:gutter="284"/>
          <w:pgNumType w:fmt="upperRoman"/>
          <w:cols w:space="425" w:num="1"/>
          <w:formProt w:val="0"/>
          <w:docGrid w:linePitch="312" w:charSpace="0"/>
        </w:sectPr>
      </w:pPr>
    </w:p>
    <w:bookmarkEnd w:id="22"/>
    <w:p>
      <w:pPr>
        <w:spacing w:line="20" w:lineRule="exact"/>
        <w:jc w:val="center"/>
        <w:rPr>
          <w:rFonts w:ascii="黑体" w:hAnsi="黑体" w:eastAsia="黑体"/>
          <w:sz w:val="32"/>
          <w:szCs w:val="32"/>
        </w:rPr>
      </w:pPr>
      <w:bookmarkStart w:id="23" w:name="BookMark4"/>
    </w:p>
    <w:p>
      <w:pPr>
        <w:spacing w:line="20" w:lineRule="exact"/>
        <w:jc w:val="center"/>
        <w:rPr>
          <w:rFonts w:ascii="黑体" w:hAnsi="黑体" w:eastAsia="黑体"/>
          <w:sz w:val="32"/>
          <w:szCs w:val="32"/>
        </w:rPr>
      </w:pPr>
    </w:p>
    <w:sdt>
      <w:sdtPr>
        <w:tag w:val="NEW_STAND_NAME"/>
        <w:id w:val="595910757"/>
        <w:lock w:val="sdtLocked"/>
        <w:placeholder>
          <w:docPart w:val="E64CB8E51FE84885A626214CC3AFD57D"/>
        </w:placeholder>
      </w:sdtPr>
      <w:sdtContent>
        <w:p>
          <w:pPr>
            <w:pStyle w:val="177"/>
            <w:spacing w:before="2" w:beforeLines="1" w:after="528" w:afterLines="220"/>
          </w:pPr>
          <w:bookmarkStart w:id="24" w:name="NEW_STAND_NAME"/>
          <w:r>
            <w:rPr>
              <w:rFonts w:hint="eastAsia"/>
            </w:rPr>
            <w:t>鲜食蚕豆生产技术规范</w:t>
          </w:r>
        </w:p>
      </w:sdtContent>
    </w:sdt>
    <w:bookmarkEnd w:id="24"/>
    <w:p>
      <w:pPr>
        <w:pStyle w:val="104"/>
        <w:spacing w:before="240" w:after="240"/>
      </w:pPr>
      <w:bookmarkStart w:id="25" w:name="_Toc26718930"/>
      <w:bookmarkStart w:id="26" w:name="_Toc231222795"/>
      <w:bookmarkStart w:id="27" w:name="_Toc26986771"/>
      <w:bookmarkStart w:id="28" w:name="_Toc231222185"/>
      <w:bookmarkStart w:id="29" w:name="_Toc97192964"/>
      <w:bookmarkStart w:id="30" w:name="_Toc24884211"/>
      <w:bookmarkStart w:id="31" w:name="_Toc17233325"/>
      <w:bookmarkStart w:id="32" w:name="_Toc26986530"/>
      <w:bookmarkStart w:id="33" w:name="_Toc26648465"/>
      <w:bookmarkStart w:id="34" w:name="_Toc24884218"/>
      <w:bookmarkStart w:id="35" w:name="_Toc17233333"/>
      <w:r>
        <w:rPr>
          <w:rFonts w:hint="eastAsia"/>
        </w:rPr>
        <w:t>范围</w:t>
      </w:r>
      <w:bookmarkEnd w:id="25"/>
      <w:bookmarkEnd w:id="26"/>
      <w:bookmarkEnd w:id="27"/>
      <w:bookmarkEnd w:id="28"/>
      <w:bookmarkEnd w:id="29"/>
      <w:bookmarkEnd w:id="30"/>
      <w:bookmarkEnd w:id="31"/>
      <w:bookmarkEnd w:id="32"/>
      <w:bookmarkEnd w:id="33"/>
      <w:bookmarkEnd w:id="34"/>
      <w:bookmarkEnd w:id="35"/>
    </w:p>
    <w:p>
      <w:pPr>
        <w:pStyle w:val="56"/>
        <w:ind w:firstLine="420"/>
      </w:pPr>
      <w:bookmarkStart w:id="36" w:name="_Toc24884212"/>
      <w:bookmarkStart w:id="37" w:name="_Toc17233326"/>
      <w:bookmarkStart w:id="38" w:name="_Toc26648466"/>
      <w:bookmarkStart w:id="39" w:name="_Toc24884219"/>
      <w:bookmarkStart w:id="40" w:name="_Toc17233334"/>
      <w:r>
        <w:rPr>
          <w:rFonts w:hint="eastAsia"/>
        </w:rPr>
        <w:t>本文件规定了鲜食蚕豆生产技术</w:t>
      </w:r>
      <w:r>
        <w:rPr>
          <w:rFonts w:hint="eastAsia"/>
          <w:color w:val="000000" w:themeColor="text1"/>
          <w14:textFill>
            <w14:solidFill>
              <w14:schemeClr w14:val="tx1"/>
            </w14:solidFill>
          </w14:textFill>
        </w:rPr>
        <w:t>的产地环境要求、品种选择、产量指标、生产技术管理及收获等</w:t>
      </w:r>
      <w:r>
        <w:rPr>
          <w:rFonts w:hint="eastAsia"/>
        </w:rPr>
        <w:t>。</w:t>
      </w:r>
    </w:p>
    <w:p>
      <w:pPr>
        <w:pStyle w:val="56"/>
        <w:ind w:firstLine="420"/>
      </w:pPr>
      <w:r>
        <w:rPr>
          <w:rFonts w:hint="eastAsia"/>
        </w:rPr>
        <w:t>本文件适用于青海省海拔在1800 m～3200 m的蚕豆种植区域。</w:t>
      </w:r>
    </w:p>
    <w:p>
      <w:pPr>
        <w:pStyle w:val="104"/>
        <w:spacing w:before="240" w:after="240"/>
      </w:pPr>
      <w:bookmarkStart w:id="41" w:name="_Toc26986772"/>
      <w:bookmarkStart w:id="42" w:name="_Toc231222796"/>
      <w:bookmarkStart w:id="43" w:name="_Toc97192965"/>
      <w:bookmarkStart w:id="44" w:name="_Toc231222186"/>
      <w:bookmarkStart w:id="45" w:name="_Toc26718931"/>
      <w:bookmarkStart w:id="46" w:name="_Toc26986531"/>
      <w:r>
        <w:rPr>
          <w:rFonts w:hint="eastAsia"/>
        </w:rPr>
        <w:t>规范性引用文件</w:t>
      </w:r>
      <w:bookmarkEnd w:id="36"/>
      <w:bookmarkEnd w:id="37"/>
      <w:bookmarkEnd w:id="38"/>
      <w:bookmarkEnd w:id="39"/>
      <w:bookmarkEnd w:id="40"/>
      <w:bookmarkEnd w:id="41"/>
      <w:bookmarkEnd w:id="42"/>
      <w:bookmarkEnd w:id="43"/>
      <w:bookmarkEnd w:id="44"/>
      <w:bookmarkEnd w:id="45"/>
      <w:bookmarkEnd w:id="46"/>
    </w:p>
    <w:sdt>
      <w:sdtPr>
        <w:rPr>
          <w:rFonts w:hint="eastAsia"/>
        </w:rPr>
        <w:id w:val="715848253"/>
        <w:placeholder>
          <w:docPart w:val="CA8D6A8379D74F9881A185AEA98EB8C5"/>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pPr>
            <w:pStyle w:val="5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pStyle w:val="56"/>
        <w:ind w:firstLine="420"/>
      </w:pPr>
      <w:r>
        <w:rPr>
          <w:rFonts w:hint="eastAsia"/>
        </w:rPr>
        <w:t xml:space="preserve">GB 4404.2  粮食作物种子  第2部分：豆类 </w:t>
      </w:r>
    </w:p>
    <w:p>
      <w:pPr>
        <w:pStyle w:val="56"/>
        <w:ind w:firstLine="420"/>
      </w:pPr>
      <w:r>
        <w:rPr>
          <w:rFonts w:hint="eastAsia"/>
        </w:rPr>
        <w:t xml:space="preserve">GB 10395.9-2014 </w:t>
      </w:r>
      <w:r>
        <w:t xml:space="preserve"> </w:t>
      </w:r>
      <w:r>
        <w:rPr>
          <w:rFonts w:hint="eastAsia"/>
        </w:rPr>
        <w:t>农业机械 安全 第9部分</w:t>
      </w:r>
      <w:r>
        <w:rPr>
          <w:rFonts w:hint="eastAsia"/>
          <w:color w:val="000000" w:themeColor="text1"/>
          <w14:textFill>
            <w14:solidFill>
              <w14:schemeClr w14:val="tx1"/>
            </w14:solidFill>
          </w14:textFill>
        </w:rPr>
        <w:t>：</w:t>
      </w:r>
      <w:r>
        <w:rPr>
          <w:rFonts w:hint="eastAsia"/>
        </w:rPr>
        <w:t>播种机</w:t>
      </w:r>
      <w:r>
        <w:rPr>
          <w:rFonts w:hint="eastAsia"/>
          <w:color w:val="000000" w:themeColor="text1"/>
          <w14:textFill>
            <w14:solidFill>
              <w14:schemeClr w14:val="tx1"/>
            </w14:solidFill>
          </w14:textFill>
        </w:rPr>
        <w:t>械</w:t>
      </w:r>
    </w:p>
    <w:p>
      <w:pPr>
        <w:pStyle w:val="56"/>
        <w:ind w:firstLine="420"/>
      </w:pPr>
      <w:r>
        <w:rPr>
          <w:rFonts w:hint="eastAsia"/>
        </w:rPr>
        <w:t>GB/T 9480-2001</w:t>
      </w:r>
      <w:r>
        <w:t xml:space="preserve"> </w:t>
      </w:r>
      <w:r>
        <w:rPr>
          <w:rFonts w:hint="eastAsia"/>
        </w:rPr>
        <w:t xml:space="preserve"> 农林拖拉机和机械、草坪和园艺动力机械 使用说明书编写规则</w:t>
      </w:r>
    </w:p>
    <w:p>
      <w:pPr>
        <w:pStyle w:val="56"/>
        <w:ind w:firstLine="420"/>
      </w:pPr>
      <w:r>
        <w:rPr>
          <w:rFonts w:hint="eastAsia"/>
        </w:rPr>
        <w:t xml:space="preserve">NY/T 391-2021 </w:t>
      </w:r>
      <w:r>
        <w:t xml:space="preserve"> </w:t>
      </w:r>
      <w:r>
        <w:rPr>
          <w:rFonts w:hint="eastAsia"/>
        </w:rPr>
        <w:t>绿色食品 产地环境质量</w:t>
      </w:r>
    </w:p>
    <w:p>
      <w:pPr>
        <w:pStyle w:val="56"/>
        <w:ind w:firstLine="420"/>
      </w:pPr>
      <w:r>
        <w:rPr>
          <w:rFonts w:hint="eastAsia"/>
        </w:rPr>
        <w:t xml:space="preserve">NY/T 393-2020 </w:t>
      </w:r>
      <w:r>
        <w:t xml:space="preserve"> </w:t>
      </w:r>
      <w:r>
        <w:rPr>
          <w:rFonts w:hint="eastAsia"/>
        </w:rPr>
        <w:t>绿色食品 农药使用准则</w:t>
      </w:r>
    </w:p>
    <w:p>
      <w:pPr>
        <w:pStyle w:val="56"/>
        <w:ind w:firstLine="420"/>
      </w:pPr>
      <w:r>
        <w:rPr>
          <w:rFonts w:hint="eastAsia"/>
        </w:rPr>
        <w:t xml:space="preserve">NY/T 394-2023 </w:t>
      </w:r>
      <w:r>
        <w:t xml:space="preserve"> </w:t>
      </w:r>
      <w:r>
        <w:rPr>
          <w:rFonts w:hint="eastAsia"/>
        </w:rPr>
        <w:t>绿色食品 肥料使用准则</w:t>
      </w:r>
    </w:p>
    <w:p>
      <w:pPr>
        <w:pStyle w:val="56"/>
        <w:ind w:firstLine="420"/>
      </w:pPr>
      <w:r>
        <w:rPr>
          <w:rFonts w:hint="eastAsia"/>
        </w:rPr>
        <w:t xml:space="preserve">NY/T 496-2010 </w:t>
      </w:r>
      <w:r>
        <w:t xml:space="preserve"> </w:t>
      </w:r>
      <w:r>
        <w:rPr>
          <w:rFonts w:hint="eastAsia"/>
        </w:rPr>
        <w:t>肥料合理使用准则 通则</w:t>
      </w:r>
    </w:p>
    <w:p>
      <w:pPr>
        <w:pStyle w:val="56"/>
        <w:ind w:firstLine="420"/>
      </w:pPr>
      <w:r>
        <w:rPr>
          <w:rFonts w:hint="eastAsia"/>
        </w:rPr>
        <w:t xml:space="preserve">NY/T 748-2020 </w:t>
      </w:r>
      <w:r>
        <w:t xml:space="preserve"> </w:t>
      </w:r>
      <w:r>
        <w:rPr>
          <w:rFonts w:hint="eastAsia"/>
        </w:rPr>
        <w:t>绿色食品 豆类蔬菜</w:t>
      </w:r>
    </w:p>
    <w:p>
      <w:pPr>
        <w:pStyle w:val="56"/>
        <w:ind w:firstLine="420"/>
      </w:pPr>
      <w:r>
        <w:rPr>
          <w:rFonts w:hint="eastAsia"/>
        </w:rPr>
        <w:t xml:space="preserve">NY/T 1276-2025 </w:t>
      </w:r>
      <w:r>
        <w:t xml:space="preserve"> </w:t>
      </w:r>
      <w:r>
        <w:rPr>
          <w:rFonts w:hint="eastAsia"/>
        </w:rPr>
        <w:t>农药安全使用规范 总则</w:t>
      </w:r>
    </w:p>
    <w:p>
      <w:pPr>
        <w:pStyle w:val="56"/>
        <w:ind w:firstLine="420"/>
      </w:pPr>
      <w:r>
        <w:rPr>
          <w:rFonts w:hint="eastAsia"/>
        </w:rPr>
        <w:t xml:space="preserve">NY/T 1997-2011 </w:t>
      </w:r>
      <w:r>
        <w:t xml:space="preserve"> </w:t>
      </w:r>
      <w:r>
        <w:rPr>
          <w:rFonts w:hint="eastAsia"/>
        </w:rPr>
        <w:t>除草剂安全使用技术规范通则</w:t>
      </w:r>
    </w:p>
    <w:p>
      <w:pPr>
        <w:pStyle w:val="56"/>
        <w:ind w:firstLine="420"/>
      </w:pPr>
      <w:r>
        <w:rPr>
          <w:rFonts w:hint="eastAsia"/>
        </w:rPr>
        <w:t xml:space="preserve">DB63/T 919-2025 </w:t>
      </w:r>
      <w:r>
        <w:t xml:space="preserve"> </w:t>
      </w:r>
      <w:r>
        <w:rPr>
          <w:rFonts w:hint="eastAsia"/>
        </w:rPr>
        <w:t>绿色食品 蚕豆生产技术规程</w:t>
      </w:r>
    </w:p>
    <w:p>
      <w:pPr>
        <w:pStyle w:val="56"/>
        <w:ind w:firstLine="420"/>
      </w:pPr>
      <w:r>
        <w:rPr>
          <w:rFonts w:hint="eastAsia"/>
        </w:rPr>
        <w:t xml:space="preserve">DB63/T1519-2016 </w:t>
      </w:r>
      <w:r>
        <w:t xml:space="preserve"> </w:t>
      </w:r>
      <w:r>
        <w:rPr>
          <w:rFonts w:hint="eastAsia"/>
        </w:rPr>
        <w:t>蚕豆机械化播种操作技术规程</w:t>
      </w:r>
    </w:p>
    <w:p>
      <w:pPr>
        <w:pStyle w:val="104"/>
        <w:spacing w:before="240" w:after="240"/>
      </w:pPr>
      <w:bookmarkStart w:id="47" w:name="_Toc97192966"/>
      <w:bookmarkStart w:id="48" w:name="_Toc231222187"/>
      <w:bookmarkStart w:id="49" w:name="_Toc231222797"/>
      <w:r>
        <w:rPr>
          <w:rFonts w:hint="eastAsia"/>
          <w:szCs w:val="21"/>
        </w:rPr>
        <w:t>术语和定义</w:t>
      </w:r>
      <w:bookmarkEnd w:id="47"/>
      <w:bookmarkEnd w:id="48"/>
      <w:bookmarkEnd w:id="49"/>
    </w:p>
    <w:sdt>
      <w:sdtPr>
        <w:id w:val="-1909835108"/>
        <w:placeholder>
          <w:docPart w:val="59073B8D338742CEAEF62251E0B6F22D"/>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pPr>
            <w:pStyle w:val="56"/>
            <w:ind w:firstLine="420"/>
          </w:pPr>
          <w:bookmarkStart w:id="50" w:name="_Toc26986532"/>
          <w:bookmarkEnd w:id="50"/>
          <w:r>
            <w:t>本文件没有需要界定的术语和定义。</w:t>
          </w:r>
        </w:p>
      </w:sdtContent>
    </w:sdt>
    <w:p>
      <w:pPr>
        <w:pStyle w:val="104"/>
        <w:spacing w:before="240" w:after="240"/>
      </w:pPr>
      <w:bookmarkStart w:id="51" w:name="_Toc25261"/>
      <w:bookmarkStart w:id="52" w:name="_Toc28594"/>
      <w:bookmarkStart w:id="53" w:name="_Toc231222798"/>
      <w:bookmarkStart w:id="54" w:name="OLE_LINK1"/>
      <w:r>
        <w:t>产地环境要求</w:t>
      </w:r>
      <w:bookmarkEnd w:id="51"/>
      <w:bookmarkEnd w:id="52"/>
      <w:bookmarkEnd w:id="53"/>
    </w:p>
    <w:p>
      <w:pPr>
        <w:pStyle w:val="56"/>
        <w:ind w:firstLine="420"/>
      </w:pPr>
      <w:r>
        <w:t>选择土壤耕作层疏松、理化性状良好、排灌方便、肥力均匀、前茬未种过豆科作物的田块。产地环境</w:t>
      </w:r>
      <w:r>
        <w:rPr>
          <w:rFonts w:hint="eastAsia"/>
          <w:color w:val="000000" w:themeColor="text1"/>
          <w14:textFill>
            <w14:solidFill>
              <w14:schemeClr w14:val="tx1"/>
            </w14:solidFill>
          </w14:textFill>
        </w:rPr>
        <w:t>应</w:t>
      </w:r>
      <w:r>
        <w:t>符合NY/T 391-2021的规定。</w:t>
      </w:r>
    </w:p>
    <w:p>
      <w:pPr>
        <w:pStyle w:val="104"/>
        <w:spacing w:before="240" w:after="240"/>
      </w:pPr>
      <w:bookmarkStart w:id="55" w:name="_Toc26160"/>
      <w:bookmarkStart w:id="56" w:name="_Toc231222799"/>
      <w:bookmarkStart w:id="57" w:name="_Toc25732"/>
      <w:r>
        <w:t>品种选择</w:t>
      </w:r>
      <w:bookmarkEnd w:id="55"/>
      <w:bookmarkEnd w:id="56"/>
      <w:bookmarkEnd w:id="57"/>
    </w:p>
    <w:p>
      <w:pPr>
        <w:pStyle w:val="56"/>
        <w:ind w:firstLine="420"/>
      </w:pPr>
      <w:r>
        <w:t>选用产量高、商品性好、抗性强的鲜食蚕豆专用品种，种子质量</w:t>
      </w:r>
      <w:r>
        <w:rPr>
          <w:rFonts w:hint="eastAsia"/>
          <w:color w:val="000000" w:themeColor="text1"/>
          <w14:textFill>
            <w14:solidFill>
              <w14:schemeClr w14:val="tx1"/>
            </w14:solidFill>
          </w14:textFill>
        </w:rPr>
        <w:t>应</w:t>
      </w:r>
      <w:r>
        <w:t>符合GB 4404.2的规定</w:t>
      </w:r>
      <w:r>
        <w:rPr>
          <w:rFonts w:hint="eastAsia"/>
          <w:color w:val="000000" w:themeColor="text1"/>
          <w14:textFill>
            <w14:solidFill>
              <w14:schemeClr w14:val="tx1"/>
            </w14:solidFill>
          </w14:textFill>
        </w:rPr>
        <w:t>，</w:t>
      </w:r>
      <w:r>
        <w:t>见附录A。</w:t>
      </w:r>
    </w:p>
    <w:bookmarkEnd w:id="54"/>
    <w:p>
      <w:pPr>
        <w:pStyle w:val="104"/>
        <w:spacing w:before="240" w:after="240"/>
      </w:pPr>
      <w:bookmarkStart w:id="58" w:name="_Toc6263"/>
      <w:bookmarkStart w:id="59" w:name="_Toc231222800"/>
      <w:bookmarkStart w:id="60" w:name="_Toc27565"/>
      <w:r>
        <w:t>产量指标</w:t>
      </w:r>
      <w:bookmarkEnd w:id="58"/>
      <w:bookmarkEnd w:id="59"/>
    </w:p>
    <w:p>
      <w:pPr>
        <w:pStyle w:val="56"/>
        <w:ind w:firstLine="420"/>
      </w:pPr>
      <w:r>
        <w:t>平均产量在2250</w:t>
      </w:r>
      <w:r>
        <w:rPr>
          <w:rFonts w:hint="eastAsia"/>
        </w:rPr>
        <w:t>0</w:t>
      </w:r>
      <w:r>
        <w:rPr>
          <w:rFonts w:hint="eastAsia"/>
          <w:lang w:val="en-US" w:eastAsia="zh-CN"/>
        </w:rPr>
        <w:t>.00</w:t>
      </w:r>
      <w:r>
        <w:rPr>
          <w:rFonts w:hint="eastAsia"/>
        </w:rPr>
        <w:t xml:space="preserve"> </w:t>
      </w:r>
      <w:r>
        <w:t>kg/</w:t>
      </w:r>
      <w:r>
        <w:rPr>
          <w:rFonts w:hint="eastAsia"/>
        </w:rPr>
        <w:t>hm</w:t>
      </w:r>
      <w:r>
        <w:rPr>
          <w:rFonts w:hint="eastAsia"/>
          <w:vertAlign w:val="superscript"/>
        </w:rPr>
        <w:t>2</w:t>
      </w:r>
      <w:r>
        <w:rPr>
          <w:rFonts w:hint="eastAsia" w:ascii="宋体" w:hAnsi="宋体" w:cs="宋体"/>
          <w:color w:val="000000" w:themeColor="text1"/>
          <w14:textFill>
            <w14:solidFill>
              <w14:schemeClr w14:val="tx1"/>
            </w14:solidFill>
          </w14:textFill>
        </w:rPr>
        <w:t>～</w:t>
      </w:r>
      <w:r>
        <w:t>3750</w:t>
      </w:r>
      <w:r>
        <w:rPr>
          <w:rFonts w:hint="eastAsia"/>
        </w:rPr>
        <w:t>0</w:t>
      </w:r>
      <w:r>
        <w:rPr>
          <w:rFonts w:hint="eastAsia"/>
          <w:lang w:val="en-US" w:eastAsia="zh-CN"/>
        </w:rPr>
        <w:t>.00</w:t>
      </w:r>
      <w:r>
        <w:rPr>
          <w:rFonts w:hint="eastAsia"/>
        </w:rPr>
        <w:t xml:space="preserve"> </w:t>
      </w:r>
      <w:r>
        <w:t>kg/</w:t>
      </w:r>
      <w:r>
        <w:rPr>
          <w:rFonts w:hint="eastAsia"/>
        </w:rPr>
        <w:t>hm</w:t>
      </w:r>
      <w:r>
        <w:rPr>
          <w:rFonts w:hint="eastAsia"/>
          <w:vertAlign w:val="superscript"/>
        </w:rPr>
        <w:t>2</w:t>
      </w:r>
      <w:r>
        <w:t>（1500.00kg/</w:t>
      </w:r>
      <w:r>
        <w:rPr>
          <w:rFonts w:hint="eastAsia"/>
        </w:rPr>
        <w:t>667m</w:t>
      </w:r>
      <w:r>
        <w:rPr>
          <w:rFonts w:hint="eastAsia"/>
          <w:vertAlign w:val="superscript"/>
        </w:rPr>
        <w:t>2</w:t>
      </w:r>
      <w:r>
        <w:rPr>
          <w:rFonts w:hint="eastAsia" w:ascii="宋体" w:hAnsi="宋体" w:cs="宋体"/>
          <w:color w:val="000000" w:themeColor="text1"/>
          <w14:textFill>
            <w14:solidFill>
              <w14:schemeClr w14:val="tx1"/>
            </w14:solidFill>
          </w14:textFill>
        </w:rPr>
        <w:t>～</w:t>
      </w:r>
      <w:r>
        <w:t>2500.00kg/</w:t>
      </w:r>
      <w:r>
        <w:rPr>
          <w:rFonts w:hint="eastAsia"/>
        </w:rPr>
        <w:t>667m</w:t>
      </w:r>
      <w:r>
        <w:rPr>
          <w:rFonts w:hint="eastAsia"/>
          <w:vertAlign w:val="superscript"/>
        </w:rPr>
        <w:t>2</w:t>
      </w:r>
      <w:r>
        <w:t>）。</w:t>
      </w:r>
    </w:p>
    <w:p>
      <w:pPr>
        <w:pStyle w:val="104"/>
        <w:spacing w:before="240" w:after="240"/>
      </w:pPr>
      <w:bookmarkStart w:id="61" w:name="_Toc231222801"/>
      <w:bookmarkStart w:id="62" w:name="_Toc15179"/>
      <w:r>
        <w:t>生产技术</w:t>
      </w:r>
      <w:bookmarkEnd w:id="60"/>
      <w:bookmarkEnd w:id="61"/>
      <w:bookmarkEnd w:id="62"/>
    </w:p>
    <w:p>
      <w:pPr>
        <w:pStyle w:val="105"/>
        <w:spacing w:before="120" w:after="120"/>
      </w:pPr>
      <w:bookmarkStart w:id="63" w:name="_Toc29954"/>
      <w:bookmarkStart w:id="64" w:name="_Toc231222802"/>
      <w:bookmarkStart w:id="65" w:name="_Toc23320"/>
      <w:r>
        <w:t>播前准备</w:t>
      </w:r>
      <w:bookmarkEnd w:id="63"/>
      <w:bookmarkEnd w:id="64"/>
      <w:bookmarkEnd w:id="65"/>
    </w:p>
    <w:p>
      <w:pPr>
        <w:pStyle w:val="65"/>
        <w:spacing w:before="120" w:after="120"/>
      </w:pPr>
      <w:r>
        <w:t>种子处理</w:t>
      </w:r>
    </w:p>
    <w:p>
      <w:pPr>
        <w:pStyle w:val="56"/>
        <w:ind w:firstLine="420"/>
      </w:pPr>
      <w:r>
        <w:t>在播种前晒种</w:t>
      </w:r>
      <w:r>
        <w:rPr>
          <w:rFonts w:hint="eastAsia"/>
        </w:rPr>
        <w:t>3</w:t>
      </w:r>
      <w:r>
        <w:t>d～</w:t>
      </w:r>
      <w:r>
        <w:rPr>
          <w:rFonts w:hint="eastAsia"/>
        </w:rPr>
        <w:t>5</w:t>
      </w:r>
      <w:r>
        <w:t>d，</w:t>
      </w:r>
      <w:r>
        <w:rPr>
          <w:rFonts w:hint="eastAsia"/>
        </w:rPr>
        <w:t>种子拌种符合</w:t>
      </w:r>
      <w:r>
        <w:t>NY/T 393-2020</w:t>
      </w:r>
      <w:r>
        <w:rPr>
          <w:rFonts w:hint="eastAsia"/>
        </w:rPr>
        <w:t>的要求</w:t>
      </w:r>
      <w:r>
        <w:t>。</w:t>
      </w:r>
    </w:p>
    <w:p>
      <w:pPr>
        <w:pStyle w:val="65"/>
        <w:spacing w:before="120" w:after="120"/>
      </w:pPr>
      <w:r>
        <w:t>整地施肥</w:t>
      </w:r>
    </w:p>
    <w:p>
      <w:pPr>
        <w:pStyle w:val="94"/>
        <w:spacing w:before="120" w:after="120"/>
      </w:pPr>
      <w:r>
        <w:rPr>
          <w:rFonts w:hint="eastAsia"/>
        </w:rPr>
        <w:t>基肥</w:t>
      </w:r>
    </w:p>
    <w:p>
      <w:pPr>
        <w:pStyle w:val="56"/>
        <w:ind w:firstLine="420"/>
      </w:pPr>
      <w:r>
        <w:t>肥料使用符合NY/T 496-2010的</w:t>
      </w:r>
      <w:r>
        <w:rPr>
          <w:rFonts w:hint="eastAsia"/>
        </w:rPr>
        <w:t>要求</w:t>
      </w:r>
      <w:r>
        <w:t>。</w:t>
      </w:r>
    </w:p>
    <w:p>
      <w:pPr>
        <w:pStyle w:val="94"/>
        <w:spacing w:before="120" w:after="120"/>
      </w:pPr>
      <w:r>
        <w:t>施肥量</w:t>
      </w:r>
    </w:p>
    <w:p>
      <w:pPr>
        <w:pStyle w:val="56"/>
        <w:ind w:firstLine="420"/>
      </w:pPr>
      <w:r>
        <w:t>结合整地，施入基肥。</w:t>
      </w:r>
      <w:bookmarkStart w:id="66" w:name="OLE_LINK5"/>
      <w:r>
        <w:t>施过磷酸钙</w:t>
      </w:r>
      <w:r>
        <w:rPr>
          <w:rFonts w:hint="eastAsia"/>
          <w:lang w:val="en-US" w:eastAsia="zh-CN"/>
        </w:rPr>
        <w:t>300.00</w:t>
      </w:r>
      <w:r>
        <w:t xml:space="preserve"> kg/</w:t>
      </w:r>
      <w:r>
        <w:rPr>
          <w:rFonts w:hint="eastAsia"/>
        </w:rPr>
        <w:t>hm</w:t>
      </w:r>
      <w:r>
        <w:rPr>
          <w:rFonts w:hint="eastAsia"/>
          <w:vertAlign w:val="superscript"/>
        </w:rPr>
        <w:t>2</w:t>
      </w:r>
      <w:r>
        <w:rPr>
          <w:rFonts w:hint="eastAsia"/>
          <w:vertAlign w:val="superscript"/>
          <w:lang w:val="en-US" w:eastAsia="zh-CN"/>
        </w:rPr>
        <w:t xml:space="preserve"> </w:t>
      </w:r>
      <w:r>
        <w:rPr>
          <w:rFonts w:hint="eastAsia"/>
          <w:vertAlign w:val="baseline"/>
          <w:lang w:eastAsia="zh-CN"/>
        </w:rPr>
        <w:t>（</w:t>
      </w:r>
      <w:r>
        <w:t>20</w:t>
      </w:r>
      <w:r>
        <w:rPr>
          <w:rFonts w:hint="eastAsia"/>
          <w:lang w:val="en-US" w:eastAsia="zh-CN"/>
        </w:rPr>
        <w:t>.00</w:t>
      </w:r>
      <w:r>
        <w:rPr>
          <w:rFonts w:hint="eastAsia"/>
        </w:rPr>
        <w:t xml:space="preserve"> </w:t>
      </w:r>
      <w:r>
        <w:t>kg</w:t>
      </w:r>
      <w:r>
        <w:rPr>
          <w:rFonts w:hint="eastAsia"/>
        </w:rPr>
        <w:t>/</w:t>
      </w:r>
      <w:r>
        <w:t>667m</w:t>
      </w:r>
      <w:r>
        <w:rPr>
          <w:vertAlign w:val="superscript"/>
        </w:rPr>
        <w:t>2</w:t>
      </w:r>
      <w:r>
        <w:rPr>
          <w:rFonts w:hint="eastAsia"/>
          <w:vertAlign w:val="baseline"/>
          <w:lang w:eastAsia="zh-CN"/>
        </w:rPr>
        <w:t>）</w:t>
      </w:r>
      <w:r>
        <w:t>、腐熟有机肥</w:t>
      </w:r>
      <w:r>
        <w:rPr>
          <w:rFonts w:hint="eastAsia"/>
          <w:lang w:val="en-US" w:eastAsia="zh-CN"/>
        </w:rPr>
        <w:t>12000.00</w:t>
      </w:r>
      <w:r>
        <w:t xml:space="preserve"> kg/</w:t>
      </w:r>
      <w:r>
        <w:rPr>
          <w:rFonts w:hint="eastAsia"/>
        </w:rPr>
        <w:t>hm</w:t>
      </w:r>
      <w:r>
        <w:rPr>
          <w:rFonts w:hint="eastAsia"/>
          <w:vertAlign w:val="superscript"/>
        </w:rPr>
        <w:t>2</w:t>
      </w:r>
      <w:r>
        <w:rPr>
          <w:rFonts w:hint="eastAsia"/>
        </w:rPr>
        <w:t>~1</w:t>
      </w:r>
      <w:r>
        <w:rPr>
          <w:rFonts w:hint="eastAsia"/>
          <w:lang w:val="en-US" w:eastAsia="zh-CN"/>
        </w:rPr>
        <w:t>5</w:t>
      </w:r>
      <w:r>
        <w:rPr>
          <w:rFonts w:hint="eastAsia"/>
        </w:rPr>
        <w:t>000</w:t>
      </w:r>
      <w:r>
        <w:rPr>
          <w:rFonts w:hint="eastAsia"/>
          <w:lang w:val="en-US" w:eastAsia="zh-CN"/>
        </w:rPr>
        <w:t>.00</w:t>
      </w:r>
      <w:r>
        <w:t>kg/</w:t>
      </w:r>
      <w:r>
        <w:rPr>
          <w:rFonts w:hint="eastAsia"/>
        </w:rPr>
        <w:t>hm</w:t>
      </w:r>
      <w:r>
        <w:rPr>
          <w:rFonts w:hint="eastAsia"/>
          <w:vertAlign w:val="superscript"/>
        </w:rPr>
        <w:t>2</w:t>
      </w:r>
      <w:r>
        <w:rPr>
          <w:rFonts w:hint="eastAsia"/>
          <w:lang w:eastAsia="zh-CN"/>
        </w:rPr>
        <w:t>（</w:t>
      </w:r>
      <w:r>
        <w:t>800</w:t>
      </w:r>
      <w:r>
        <w:rPr>
          <w:rFonts w:hint="eastAsia"/>
          <w:lang w:val="en-US" w:eastAsia="zh-CN"/>
        </w:rPr>
        <w:t>.00</w:t>
      </w:r>
      <w:r>
        <w:t>kg</w:t>
      </w:r>
      <w:r>
        <w:rPr>
          <w:rFonts w:hint="eastAsia"/>
        </w:rPr>
        <w:t>/</w:t>
      </w:r>
      <w:r>
        <w:t>667m</w:t>
      </w:r>
      <w:r>
        <w:rPr>
          <w:vertAlign w:val="superscript"/>
        </w:rPr>
        <w:t>2</w:t>
      </w:r>
      <w:r>
        <w:rPr>
          <w:rFonts w:hint="eastAsia"/>
        </w:rPr>
        <w:t>~1000</w:t>
      </w:r>
      <w:r>
        <w:rPr>
          <w:rFonts w:hint="eastAsia"/>
          <w:lang w:val="en-US" w:eastAsia="zh-CN"/>
        </w:rPr>
        <w:t>.00</w:t>
      </w:r>
      <w:r>
        <w:rPr>
          <w:rFonts w:hint="eastAsia"/>
        </w:rPr>
        <w:t xml:space="preserve"> kg/</w:t>
      </w:r>
      <w:r>
        <w:t>667m</w:t>
      </w:r>
      <w:r>
        <w:rPr>
          <w:vertAlign w:val="superscript"/>
        </w:rPr>
        <w:t>2</w:t>
      </w:r>
      <w:r>
        <w:rPr>
          <w:rFonts w:hint="eastAsia"/>
          <w:lang w:eastAsia="zh-CN"/>
        </w:rPr>
        <w:t>）</w:t>
      </w:r>
      <w:r>
        <w:t>或蚕豆专用肥</w:t>
      </w:r>
      <w:r>
        <w:rPr>
          <w:rFonts w:hint="eastAsia"/>
          <w:lang w:val="en-US" w:eastAsia="zh-CN"/>
        </w:rPr>
        <w:t>600.00</w:t>
      </w:r>
      <w:r>
        <w:t xml:space="preserve"> kg/</w:t>
      </w:r>
      <w:r>
        <w:rPr>
          <w:rFonts w:hint="eastAsia"/>
        </w:rPr>
        <w:t>hm</w:t>
      </w:r>
      <w:r>
        <w:rPr>
          <w:rFonts w:hint="eastAsia"/>
          <w:vertAlign w:val="superscript"/>
        </w:rPr>
        <w:t>2</w:t>
      </w:r>
      <w:r>
        <w:rPr>
          <w:rFonts w:hint="eastAsia"/>
          <w:vertAlign w:val="superscript"/>
          <w:lang w:val="en-US" w:eastAsia="zh-CN"/>
        </w:rPr>
        <w:t xml:space="preserve"> </w:t>
      </w:r>
      <w:r>
        <w:rPr>
          <w:rFonts w:hint="eastAsia"/>
          <w:vertAlign w:val="baseline"/>
          <w:lang w:eastAsia="zh-CN"/>
        </w:rPr>
        <w:t>（</w:t>
      </w:r>
      <w:r>
        <w:t>40</w:t>
      </w:r>
      <w:r>
        <w:rPr>
          <w:rFonts w:hint="eastAsia"/>
          <w:lang w:val="en-US" w:eastAsia="zh-CN"/>
        </w:rPr>
        <w:t>.00</w:t>
      </w:r>
      <w:r>
        <w:rPr>
          <w:rFonts w:hint="eastAsia"/>
        </w:rPr>
        <w:t xml:space="preserve"> </w:t>
      </w:r>
      <w:r>
        <w:t>kg</w:t>
      </w:r>
      <w:r>
        <w:rPr>
          <w:rFonts w:hint="eastAsia"/>
        </w:rPr>
        <w:t>/</w:t>
      </w:r>
      <w:r>
        <w:t>667m</w:t>
      </w:r>
      <w:r>
        <w:rPr>
          <w:vertAlign w:val="superscript"/>
        </w:rPr>
        <w:t>2</w:t>
      </w:r>
      <w:r>
        <w:rPr>
          <w:rFonts w:hint="eastAsia"/>
          <w:vertAlign w:val="baseline"/>
          <w:lang w:eastAsia="zh-CN"/>
        </w:rPr>
        <w:t>）</w:t>
      </w:r>
      <w:r>
        <w:t>。</w:t>
      </w:r>
      <w:r>
        <w:rPr>
          <w:rFonts w:hint="eastAsia"/>
        </w:rPr>
        <w:t>肥料使用按</w:t>
      </w:r>
      <w:r>
        <w:fldChar w:fldCharType="begin"/>
      </w:r>
      <w:r>
        <w:instrText xml:space="preserve"> HYPERLINK "https://std.samr.gov.cn/hb/search/stdHBDetailed?id=11F37153CEF861D9E06397BE0A0A4E88" \t "https://std.samr.gov.cn/search/stdPage?q=NY/_blank" </w:instrText>
      </w:r>
      <w:r>
        <w:fldChar w:fldCharType="separate"/>
      </w:r>
      <w:r>
        <w:t>NY/T 394-2023</w:t>
      </w:r>
      <w:r>
        <w:fldChar w:fldCharType="end"/>
      </w:r>
      <w:r>
        <w:rPr>
          <w:rFonts w:hint="eastAsia"/>
        </w:rPr>
        <w:t>和</w:t>
      </w:r>
      <w:r>
        <w:t>NY/T 496-2010</w:t>
      </w:r>
      <w:r>
        <w:rPr>
          <w:rFonts w:hint="eastAsia"/>
        </w:rPr>
        <w:t>执行。</w:t>
      </w:r>
    </w:p>
    <w:bookmarkEnd w:id="66"/>
    <w:p>
      <w:pPr>
        <w:pStyle w:val="94"/>
        <w:spacing w:before="120" w:after="120"/>
      </w:pPr>
      <w:r>
        <w:t>土壤处理</w:t>
      </w:r>
    </w:p>
    <w:p>
      <w:pPr>
        <w:pStyle w:val="56"/>
        <w:ind w:firstLine="420"/>
      </w:pPr>
      <w:r>
        <w:t>播前土壤喷施二甲戊灵除草剂防除杂草</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推荐使用3 750</w:t>
      </w:r>
      <w:r>
        <w:rPr>
          <w:rFonts w:hint="eastAsia"/>
          <w:color w:val="000000" w:themeColor="text1"/>
          <w:lang w:val="en-US" w:eastAsia="zh-CN"/>
          <w14:textFill>
            <w14:solidFill>
              <w14:schemeClr w14:val="tx1"/>
            </w14:solidFill>
          </w14:textFill>
        </w:rPr>
        <w:t>.00</w:t>
      </w:r>
      <w:r>
        <w:rPr>
          <w:rFonts w:hint="eastAsia"/>
          <w:color w:val="000000" w:themeColor="text1"/>
          <w14:textFill>
            <w14:solidFill>
              <w14:schemeClr w14:val="tx1"/>
            </w14:solidFill>
          </w14:textFill>
        </w:rPr>
        <w:t xml:space="preserve"> </w:t>
      </w:r>
      <w:r>
        <w:rPr>
          <w:rFonts w:hint="eastAsia" w:eastAsia="黑体"/>
          <w:color w:val="000000" w:themeColor="text1"/>
          <w14:textFill>
            <w14:solidFill>
              <w14:schemeClr w14:val="tx1"/>
            </w14:solidFill>
          </w14:textFill>
        </w:rPr>
        <w:t>mL</w:t>
      </w:r>
      <w:r>
        <w:rPr>
          <w:rFonts w:eastAsia="黑体"/>
          <w:color w:val="000000" w:themeColor="text1"/>
          <w:szCs w:val="22"/>
          <w14:textFill>
            <w14:solidFill>
              <w14:schemeClr w14:val="tx1"/>
            </w14:solidFill>
          </w14:textFill>
        </w:rPr>
        <w:t>/</w:t>
      </w:r>
      <w:r>
        <w:rPr>
          <w:rFonts w:hint="eastAsia" w:eastAsia="黑体"/>
          <w:szCs w:val="22"/>
        </w:rPr>
        <w:t>hm</w:t>
      </w:r>
      <w:r>
        <w:rPr>
          <w:rFonts w:hint="eastAsia" w:eastAsia="黑体"/>
          <w:szCs w:val="22"/>
          <w:vertAlign w:val="superscript"/>
        </w:rPr>
        <w:t>2</w:t>
      </w:r>
      <w:r>
        <w:t>二甲戊灵兑水</w:t>
      </w:r>
      <w:r>
        <w:rPr>
          <w:rFonts w:hint="eastAsia"/>
          <w:lang w:val="en-US" w:eastAsia="zh-CN"/>
        </w:rPr>
        <w:t>4500.00kg</w:t>
      </w:r>
      <w:r>
        <w:t>，于天晴无风使药剂均匀喷施，然后对土壤进行两耙两耱整地</w:t>
      </w:r>
      <w:r>
        <w:rPr>
          <w:rFonts w:hint="eastAsia"/>
        </w:rPr>
        <w:t>。农药使用按</w:t>
      </w:r>
      <w:r>
        <w:t>NY/T 1276-2025</w:t>
      </w:r>
      <w:r>
        <w:rPr>
          <w:rFonts w:hint="eastAsia"/>
        </w:rPr>
        <w:t>和</w:t>
      </w:r>
      <w:r>
        <w:t>NY/T 1997-2011</w:t>
      </w:r>
      <w:r>
        <w:rPr>
          <w:rFonts w:hint="eastAsia"/>
        </w:rPr>
        <w:t>执行。</w:t>
      </w:r>
    </w:p>
    <w:p>
      <w:pPr>
        <w:pStyle w:val="94"/>
        <w:spacing w:before="120" w:after="120"/>
      </w:pPr>
      <w:r>
        <w:rPr>
          <w:rFonts w:hint="eastAsia"/>
        </w:rPr>
        <w:t>施基肥和</w:t>
      </w:r>
      <w:r>
        <w:t>整地</w:t>
      </w:r>
    </w:p>
    <w:p>
      <w:pPr>
        <w:widowControl/>
        <w:tabs>
          <w:tab w:val="center" w:pos="4201"/>
          <w:tab w:val="right" w:leader="dot" w:pos="9298"/>
        </w:tabs>
        <w:autoSpaceDE w:val="0"/>
        <w:autoSpaceDN w:val="0"/>
        <w:adjustRightInd/>
        <w:spacing w:before="120" w:beforeLines="50" w:after="120" w:afterLines="50" w:line="240" w:lineRule="auto"/>
        <w:ind w:firstLine="420" w:firstLineChars="200"/>
        <w:rPr>
          <w:rFonts w:ascii="Times New Roman" w:hAnsi="Times New Roman"/>
          <w:kern w:val="0"/>
          <w:szCs w:val="22"/>
        </w:rPr>
      </w:pPr>
      <w:r>
        <w:rPr>
          <w:rFonts w:ascii="Times New Roman" w:hAnsi="Times New Roman"/>
          <w:kern w:val="0"/>
          <w:szCs w:val="22"/>
        </w:rPr>
        <w:t>秋耕深翻，耕深20.00</w:t>
      </w:r>
      <w:r>
        <w:rPr>
          <w:rFonts w:hint="eastAsia" w:ascii="Times New Roman" w:hAnsi="Times New Roman"/>
          <w:kern w:val="0"/>
          <w:szCs w:val="22"/>
        </w:rPr>
        <w:t xml:space="preserve"> cm</w:t>
      </w:r>
      <w:r>
        <w:rPr>
          <w:rFonts w:ascii="Times New Roman" w:hAnsi="Times New Roman"/>
          <w:kern w:val="0"/>
          <w:szCs w:val="22"/>
        </w:rPr>
        <w:t>以上，要求</w:t>
      </w:r>
      <w:r>
        <w:rPr>
          <w:rFonts w:hint="eastAsia" w:ascii="Times New Roman" w:hAnsi="Times New Roman"/>
          <w:color w:val="000000" w:themeColor="text1"/>
          <w:kern w:val="0"/>
          <w:szCs w:val="22"/>
          <w14:textFill>
            <w14:solidFill>
              <w14:schemeClr w14:val="tx1"/>
            </w14:solidFill>
          </w14:textFill>
        </w:rPr>
        <w:t>应</w:t>
      </w:r>
      <w:r>
        <w:rPr>
          <w:rFonts w:ascii="Times New Roman" w:hAnsi="Times New Roman"/>
          <w:kern w:val="0"/>
          <w:szCs w:val="22"/>
        </w:rPr>
        <w:t>耕深一致，不重不漏，犁</w:t>
      </w:r>
      <w:r>
        <w:rPr>
          <w:rFonts w:ascii="Times New Roman" w:hAnsi="Times New Roman"/>
          <w:color w:val="000000" w:themeColor="text1"/>
          <w:kern w:val="0"/>
          <w:szCs w:val="22"/>
          <w14:textFill>
            <w14:solidFill>
              <w14:schemeClr w14:val="tx1"/>
            </w14:solidFill>
          </w14:textFill>
        </w:rPr>
        <w:t>垡齐平</w:t>
      </w:r>
      <w:r>
        <w:rPr>
          <w:rFonts w:hint="eastAsia" w:ascii="Times New Roman" w:hAnsi="Times New Roman"/>
          <w:color w:val="000000" w:themeColor="text1"/>
          <w:kern w:val="0"/>
          <w:szCs w:val="22"/>
          <w14:textFill>
            <w14:solidFill>
              <w14:schemeClr w14:val="tx1"/>
            </w14:solidFill>
          </w14:textFill>
        </w:rPr>
        <w:t>；</w:t>
      </w:r>
      <w:r>
        <w:rPr>
          <w:rFonts w:ascii="Times New Roman" w:hAnsi="Times New Roman"/>
          <w:color w:val="000000" w:themeColor="text1"/>
          <w:kern w:val="0"/>
          <w:szCs w:val="22"/>
          <w14:textFill>
            <w14:solidFill>
              <w14:schemeClr w14:val="tx1"/>
            </w14:solidFill>
          </w14:textFill>
        </w:rPr>
        <w:t>使土</w:t>
      </w:r>
      <w:r>
        <w:rPr>
          <w:rFonts w:ascii="Times New Roman" w:hAnsi="Times New Roman"/>
          <w:kern w:val="0"/>
          <w:szCs w:val="22"/>
        </w:rPr>
        <w:t>壤达到地平</w:t>
      </w:r>
      <w:r>
        <w:rPr>
          <w:rFonts w:hint="eastAsia" w:ascii="Times New Roman" w:hAnsi="Times New Roman"/>
          <w:kern w:val="0"/>
          <w:szCs w:val="22"/>
        </w:rPr>
        <w:t>，</w:t>
      </w:r>
      <w:r>
        <w:rPr>
          <w:rFonts w:ascii="Times New Roman" w:hAnsi="Times New Roman"/>
          <w:kern w:val="0"/>
          <w:szCs w:val="22"/>
        </w:rPr>
        <w:t>土细</w:t>
      </w:r>
      <w:r>
        <w:rPr>
          <w:rFonts w:hint="eastAsia" w:ascii="Times New Roman" w:hAnsi="Times New Roman"/>
          <w:kern w:val="0"/>
          <w:szCs w:val="22"/>
        </w:rPr>
        <w:t>，</w:t>
      </w:r>
      <w:r>
        <w:rPr>
          <w:rFonts w:ascii="Times New Roman" w:hAnsi="Times New Roman"/>
          <w:kern w:val="0"/>
          <w:szCs w:val="22"/>
        </w:rPr>
        <w:t>无根茬</w:t>
      </w:r>
      <w:r>
        <w:rPr>
          <w:rFonts w:hint="eastAsia" w:ascii="Times New Roman" w:hAnsi="Times New Roman"/>
          <w:kern w:val="0"/>
          <w:szCs w:val="22"/>
        </w:rPr>
        <w:t>，无</w:t>
      </w:r>
      <w:r>
        <w:rPr>
          <w:rFonts w:ascii="Times New Roman" w:hAnsi="Times New Roman"/>
          <w:kern w:val="0"/>
          <w:szCs w:val="22"/>
        </w:rPr>
        <w:t>石块</w:t>
      </w:r>
      <w:r>
        <w:rPr>
          <w:rFonts w:hint="eastAsia" w:ascii="Times New Roman" w:hAnsi="Times New Roman"/>
          <w:kern w:val="0"/>
          <w:szCs w:val="22"/>
        </w:rPr>
        <w:t>，无</w:t>
      </w:r>
      <w:r>
        <w:rPr>
          <w:rFonts w:ascii="Times New Roman" w:hAnsi="Times New Roman"/>
          <w:kern w:val="0"/>
          <w:szCs w:val="22"/>
        </w:rPr>
        <w:t>杂物的播种要求。</w:t>
      </w:r>
    </w:p>
    <w:p>
      <w:pPr>
        <w:pStyle w:val="105"/>
        <w:spacing w:before="120" w:after="120"/>
      </w:pPr>
      <w:bookmarkStart w:id="67" w:name="_Toc13241"/>
      <w:bookmarkStart w:id="68" w:name="_Toc15701"/>
      <w:bookmarkStart w:id="69" w:name="_Toc231222803"/>
      <w:r>
        <w:t>播种</w:t>
      </w:r>
      <w:bookmarkEnd w:id="67"/>
      <w:bookmarkEnd w:id="68"/>
      <w:bookmarkEnd w:id="69"/>
    </w:p>
    <w:p>
      <w:pPr>
        <w:pStyle w:val="65"/>
        <w:spacing w:before="120" w:after="120"/>
      </w:pPr>
      <w:r>
        <w:t>机具要求</w:t>
      </w:r>
    </w:p>
    <w:p>
      <w:pPr>
        <w:pStyle w:val="56"/>
        <w:ind w:firstLine="420"/>
        <w:rPr>
          <w:color w:val="FF0000"/>
        </w:rPr>
      </w:pPr>
      <w:r>
        <w:t>蚕豆播种</w:t>
      </w:r>
      <w:r>
        <w:rPr>
          <w:color w:val="000000" w:themeColor="text1"/>
          <w14:textFill>
            <w14:solidFill>
              <w14:schemeClr w14:val="tx1"/>
            </w14:solidFill>
          </w14:textFill>
        </w:rPr>
        <w:t>机械</w:t>
      </w:r>
      <w:r>
        <w:rPr>
          <w:rFonts w:hint="eastAsia"/>
          <w:color w:val="000000" w:themeColor="text1"/>
          <w14:textFill>
            <w14:solidFill>
              <w14:schemeClr w14:val="tx1"/>
            </w14:solidFill>
          </w14:textFill>
        </w:rPr>
        <w:t>安全应符合</w:t>
      </w:r>
      <w:r>
        <w:rPr>
          <w:color w:val="000000" w:themeColor="text1"/>
          <w14:textFill>
            <w14:solidFill>
              <w14:schemeClr w14:val="tx1"/>
            </w14:solidFill>
          </w14:textFill>
        </w:rPr>
        <w:t>GB 10395.</w:t>
      </w:r>
      <w:r>
        <w:t>9-2014的规定进行安全防护，播种机械危险部位按GB/T 9480-2001的规定要求。</w:t>
      </w:r>
    </w:p>
    <w:p>
      <w:pPr>
        <w:pStyle w:val="65"/>
        <w:spacing w:before="120" w:after="120"/>
      </w:pPr>
      <w:r>
        <w:t>播种时间</w:t>
      </w:r>
    </w:p>
    <w:p>
      <w:pPr>
        <w:pStyle w:val="56"/>
        <w:ind w:firstLine="420"/>
      </w:pPr>
      <w:r>
        <w:t>3月上旬至4月中旬播种。</w:t>
      </w:r>
    </w:p>
    <w:p>
      <w:pPr>
        <w:pStyle w:val="65"/>
        <w:spacing w:before="120" w:after="120"/>
      </w:pPr>
      <w:r>
        <w:t>播种方式</w:t>
      </w:r>
    </w:p>
    <w:p>
      <w:pPr>
        <w:pStyle w:val="56"/>
        <w:ind w:firstLine="420"/>
      </w:pPr>
      <w:r>
        <w:t>采用人工穴播或</w:t>
      </w:r>
      <w:r>
        <w:rPr>
          <w:szCs w:val="22"/>
        </w:rPr>
        <w:t>机械化播种，</w:t>
      </w:r>
      <w:r>
        <w:t>播种深度8</w:t>
      </w:r>
      <w:r>
        <w:rPr>
          <w:rFonts w:hint="eastAsia"/>
          <w:lang w:val="en-US" w:eastAsia="zh-CN"/>
        </w:rPr>
        <w:t>.00</w:t>
      </w:r>
      <w:r>
        <w:rPr>
          <w:rFonts w:hint="eastAsia"/>
        </w:rPr>
        <w:t xml:space="preserve"> </w:t>
      </w:r>
      <w:r>
        <w:t>cm</w:t>
      </w:r>
      <w:r>
        <w:rPr>
          <w:rFonts w:hint="eastAsia"/>
        </w:rPr>
        <w:t>~10</w:t>
      </w:r>
      <w:r>
        <w:rPr>
          <w:rFonts w:hint="eastAsia"/>
          <w:lang w:val="en-US" w:eastAsia="zh-CN"/>
        </w:rPr>
        <w:t>.00</w:t>
      </w:r>
      <w:r>
        <w:rPr>
          <w:rFonts w:hint="eastAsia"/>
        </w:rPr>
        <w:t xml:space="preserve"> </w:t>
      </w:r>
      <w:r>
        <w:t>cm。</w:t>
      </w:r>
      <w:r>
        <w:rPr>
          <w:szCs w:val="22"/>
        </w:rPr>
        <w:t>播后用湿土盖住播种口。</w:t>
      </w:r>
      <w:r>
        <w:rPr>
          <w:rFonts w:hint="eastAsia"/>
        </w:rPr>
        <w:t>人工播种符合</w:t>
      </w:r>
      <w:r>
        <w:t>GB/T 6973-2005</w:t>
      </w:r>
      <w:r>
        <w:rPr>
          <w:rFonts w:hint="eastAsia"/>
        </w:rPr>
        <w:t>的规定，</w:t>
      </w:r>
      <w:r>
        <w:rPr>
          <w:szCs w:val="22"/>
        </w:rPr>
        <w:t>机械播种按照</w:t>
      </w:r>
      <w:r>
        <w:t>DB63/T</w:t>
      </w:r>
      <w:r>
        <w:rPr>
          <w:rFonts w:hint="eastAsia"/>
        </w:rPr>
        <w:t xml:space="preserve"> </w:t>
      </w:r>
      <w:r>
        <w:t>1519-2016</w:t>
      </w:r>
      <w:r>
        <w:rPr>
          <w:szCs w:val="22"/>
        </w:rPr>
        <w:t>执行</w:t>
      </w:r>
      <w:r>
        <w:t>。</w:t>
      </w:r>
    </w:p>
    <w:p>
      <w:pPr>
        <w:pStyle w:val="65"/>
        <w:spacing w:before="120" w:after="120"/>
      </w:pPr>
      <w:r>
        <w:t>播种密度</w:t>
      </w:r>
    </w:p>
    <w:p>
      <w:pPr>
        <w:pStyle w:val="56"/>
        <w:ind w:firstLine="420"/>
        <w:rPr>
          <w:color w:val="FF0000"/>
        </w:rPr>
      </w:pPr>
      <w:r>
        <w:t>灌溉农业区135</w:t>
      </w:r>
      <w:r>
        <w:rPr>
          <w:rFonts w:hint="eastAsia"/>
          <w:lang w:val="en-US" w:eastAsia="zh-CN"/>
        </w:rPr>
        <w:t>.00</w:t>
      </w:r>
      <w:r>
        <w:t xml:space="preserve"> kg/</w:t>
      </w:r>
      <w:r>
        <w:rPr>
          <w:rFonts w:hint="eastAsia"/>
        </w:rPr>
        <w:t>hm</w:t>
      </w:r>
      <w:r>
        <w:rPr>
          <w:rFonts w:hint="eastAsia"/>
          <w:vertAlign w:val="superscript"/>
        </w:rPr>
        <w:t>2</w:t>
      </w:r>
      <w:r>
        <w:t>～180</w:t>
      </w:r>
      <w:r>
        <w:rPr>
          <w:rFonts w:hint="eastAsia"/>
          <w:lang w:val="en-US" w:eastAsia="zh-CN"/>
        </w:rPr>
        <w:t>.00</w:t>
      </w:r>
      <w:r>
        <w:t xml:space="preserve"> kg/</w:t>
      </w:r>
      <w:r>
        <w:rPr>
          <w:rFonts w:hint="eastAsia"/>
        </w:rPr>
        <w:t>hm</w:t>
      </w:r>
      <w:r>
        <w:rPr>
          <w:rFonts w:hint="eastAsia"/>
          <w:vertAlign w:val="superscript"/>
        </w:rPr>
        <w:t>2</w:t>
      </w:r>
      <w:r>
        <w:t>（9</w:t>
      </w:r>
      <w:r>
        <w:rPr>
          <w:rFonts w:hint="eastAsia"/>
          <w:lang w:val="en-US" w:eastAsia="zh-CN"/>
        </w:rPr>
        <w:t>.00</w:t>
      </w:r>
      <w:r>
        <w:t xml:space="preserve"> kg/666.7m</w:t>
      </w:r>
      <w:r>
        <w:rPr>
          <w:vertAlign w:val="superscript"/>
        </w:rPr>
        <w:t>2</w:t>
      </w:r>
      <w:r>
        <w:t>～12</w:t>
      </w:r>
      <w:r>
        <w:rPr>
          <w:rFonts w:hint="eastAsia"/>
          <w:lang w:val="en-US" w:eastAsia="zh-CN"/>
        </w:rPr>
        <w:t>.00</w:t>
      </w:r>
      <w:r>
        <w:t xml:space="preserve"> kg /666.7m</w:t>
      </w:r>
      <w:r>
        <w:rPr>
          <w:vertAlign w:val="superscript"/>
        </w:rPr>
        <w:t>2</w:t>
      </w:r>
      <w:r>
        <w:t>），保苗</w:t>
      </w:r>
      <w:r>
        <w:rPr>
          <w:rFonts w:hint="eastAsia"/>
          <w:lang w:val="en-US" w:eastAsia="zh-CN"/>
        </w:rPr>
        <w:t>6</w:t>
      </w:r>
      <w:r>
        <w:t xml:space="preserve"> 万株/</w:t>
      </w:r>
      <w:r>
        <w:rPr>
          <w:rFonts w:hint="eastAsia"/>
        </w:rPr>
        <w:t>hm</w:t>
      </w:r>
      <w:r>
        <w:rPr>
          <w:rFonts w:hint="eastAsia"/>
          <w:vertAlign w:val="superscript"/>
        </w:rPr>
        <w:t>2</w:t>
      </w:r>
      <w:r>
        <w:t>～</w:t>
      </w:r>
      <w:r>
        <w:rPr>
          <w:rFonts w:hint="eastAsia"/>
          <w:lang w:val="en-US" w:eastAsia="zh-CN"/>
        </w:rPr>
        <w:t>9</w:t>
      </w:r>
      <w:r>
        <w:t xml:space="preserve"> 万株/</w:t>
      </w:r>
      <w:r>
        <w:rPr>
          <w:rFonts w:hint="eastAsia"/>
        </w:rPr>
        <w:t>hm</w:t>
      </w:r>
      <w:r>
        <w:rPr>
          <w:rFonts w:hint="eastAsia"/>
          <w:vertAlign w:val="superscript"/>
        </w:rPr>
        <w:t>2</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0.4</w:t>
      </w:r>
      <w:r>
        <w:rPr>
          <w:rFonts w:hint="eastAsia"/>
          <w:color w:val="000000" w:themeColor="text1"/>
          <w:lang w:val="en-US" w:eastAsia="zh-CN"/>
          <w14:textFill>
            <w14:solidFill>
              <w14:schemeClr w14:val="tx1"/>
            </w14:solidFill>
          </w14:textFill>
        </w:rPr>
        <w:t xml:space="preserve"> </w:t>
      </w:r>
      <w:r>
        <w:rPr>
          <w:color w:val="000000" w:themeColor="text1"/>
          <w14:textFill>
            <w14:solidFill>
              <w14:schemeClr w14:val="tx1"/>
            </w14:solidFill>
          </w14:textFill>
        </w:rPr>
        <w:t>万株</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666.7m</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～0.6</w:t>
      </w:r>
      <w:r>
        <w:rPr>
          <w:rFonts w:hint="eastAsia"/>
          <w:color w:val="000000" w:themeColor="text1"/>
          <w:lang w:val="en-US" w:eastAsia="zh-CN"/>
          <w14:textFill>
            <w14:solidFill>
              <w14:schemeClr w14:val="tx1"/>
            </w14:solidFill>
          </w14:textFill>
        </w:rPr>
        <w:t xml:space="preserve"> </w:t>
      </w:r>
      <w:r>
        <w:rPr>
          <w:color w:val="000000" w:themeColor="text1"/>
          <w14:textFill>
            <w14:solidFill>
              <w14:schemeClr w14:val="tx1"/>
            </w14:solidFill>
          </w14:textFill>
        </w:rPr>
        <w:t>万株</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666.7m</w:t>
      </w:r>
      <w:r>
        <w:rPr>
          <w:color w:val="000000" w:themeColor="text1"/>
          <w:vertAlign w:val="superscript"/>
          <w14:textFill>
            <w14:solidFill>
              <w14:schemeClr w14:val="tx1"/>
            </w14:solidFill>
          </w14:textFill>
        </w:rPr>
        <w:t>2</w:t>
      </w:r>
      <w:r>
        <w:rPr>
          <w:rFonts w:hint="eastAsia"/>
          <w:color w:val="000000" w:themeColor="text1"/>
          <w14:textFill>
            <w14:solidFill>
              <w14:schemeClr w14:val="tx1"/>
            </w14:solidFill>
          </w14:textFill>
        </w:rPr>
        <w:t>）</w:t>
      </w:r>
      <w:r>
        <w:rPr>
          <w:rFonts w:hint="eastAsia"/>
        </w:rPr>
        <w:t>。</w:t>
      </w:r>
    </w:p>
    <w:p>
      <w:pPr>
        <w:pStyle w:val="56"/>
        <w:ind w:firstLine="420"/>
      </w:pPr>
      <w:r>
        <w:t>旱作农业区150</w:t>
      </w:r>
      <w:r>
        <w:rPr>
          <w:rFonts w:hint="eastAsia"/>
          <w:lang w:val="en-US" w:eastAsia="zh-CN"/>
        </w:rPr>
        <w:t>.00</w:t>
      </w:r>
      <w:r>
        <w:t xml:space="preserve"> kg/</w:t>
      </w:r>
      <w:r>
        <w:rPr>
          <w:rFonts w:hint="eastAsia"/>
        </w:rPr>
        <w:t>hm</w:t>
      </w:r>
      <w:r>
        <w:rPr>
          <w:rFonts w:hint="eastAsia"/>
          <w:vertAlign w:val="superscript"/>
        </w:rPr>
        <w:t>2</w:t>
      </w:r>
      <w:r>
        <w:t>～195</w:t>
      </w:r>
      <w:r>
        <w:rPr>
          <w:rFonts w:hint="eastAsia"/>
          <w:lang w:val="en-US" w:eastAsia="zh-CN"/>
        </w:rPr>
        <w:t>.00</w:t>
      </w:r>
      <w:r>
        <w:t xml:space="preserve"> </w:t>
      </w:r>
      <w:bookmarkStart w:id="70" w:name="OLE_LINK12"/>
      <w:r>
        <w:t>kg/</w:t>
      </w:r>
      <w:r>
        <w:rPr>
          <w:rFonts w:hint="eastAsia"/>
        </w:rPr>
        <w:t>hm</w:t>
      </w:r>
      <w:r>
        <w:rPr>
          <w:rFonts w:hint="eastAsia"/>
          <w:vertAlign w:val="superscript"/>
        </w:rPr>
        <w:t>2</w:t>
      </w:r>
      <w:bookmarkEnd w:id="70"/>
      <w:r>
        <w:t>（10</w:t>
      </w:r>
      <w:r>
        <w:rPr>
          <w:rFonts w:hint="eastAsia"/>
          <w:lang w:val="en-US" w:eastAsia="zh-CN"/>
        </w:rPr>
        <w:t>.00</w:t>
      </w:r>
      <w:r>
        <w:t xml:space="preserve"> kg/666.7m</w:t>
      </w:r>
      <w:r>
        <w:rPr>
          <w:vertAlign w:val="superscript"/>
        </w:rPr>
        <w:t>2</w:t>
      </w:r>
      <w:r>
        <w:t>～13</w:t>
      </w:r>
      <w:r>
        <w:rPr>
          <w:rFonts w:hint="eastAsia"/>
          <w:lang w:val="en-US" w:eastAsia="zh-CN"/>
        </w:rPr>
        <w:t>.00</w:t>
      </w:r>
      <w:r>
        <w:t xml:space="preserve"> kg /666.7m</w:t>
      </w:r>
      <w:r>
        <w:rPr>
          <w:vertAlign w:val="superscript"/>
        </w:rPr>
        <w:t>2</w:t>
      </w:r>
      <w:r>
        <w:t>），保苗</w:t>
      </w:r>
      <w:r>
        <w:rPr>
          <w:rFonts w:hint="eastAsia"/>
          <w:lang w:val="en-US" w:eastAsia="zh-CN"/>
        </w:rPr>
        <w:t>7.5</w:t>
      </w:r>
      <w:r>
        <w:t xml:space="preserve"> 万株/</w:t>
      </w:r>
      <w:r>
        <w:rPr>
          <w:rFonts w:hint="eastAsia"/>
        </w:rPr>
        <w:t>hm</w:t>
      </w:r>
      <w:r>
        <w:rPr>
          <w:rFonts w:hint="eastAsia"/>
          <w:vertAlign w:val="superscript"/>
        </w:rPr>
        <w:t>2</w:t>
      </w:r>
      <w:r>
        <w:t>～</w:t>
      </w:r>
      <w:r>
        <w:rPr>
          <w:rFonts w:hint="eastAsia"/>
          <w:lang w:val="en-US" w:eastAsia="zh-CN"/>
        </w:rPr>
        <w:t>10.5</w:t>
      </w:r>
      <w:r>
        <w:t xml:space="preserve"> 万株/</w:t>
      </w:r>
      <w:r>
        <w:rPr>
          <w:rFonts w:hint="eastAsia"/>
        </w:rPr>
        <w:t>hm</w:t>
      </w:r>
      <w:r>
        <w:rPr>
          <w:rFonts w:hint="eastAsia"/>
          <w:vertAlign w:val="superscript"/>
        </w:rPr>
        <w:t>2</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0.</w:t>
      </w:r>
      <w:r>
        <w:rPr>
          <w:rFonts w:hint="eastAsia"/>
          <w:color w:val="000000" w:themeColor="text1"/>
          <w:lang w:val="en-US" w:eastAsia="zh-CN"/>
          <w14:textFill>
            <w14:solidFill>
              <w14:schemeClr w14:val="tx1"/>
            </w14:solidFill>
          </w14:textFill>
        </w:rPr>
        <w:t xml:space="preserve">5 </w:t>
      </w:r>
      <w:r>
        <w:rPr>
          <w:color w:val="000000" w:themeColor="text1"/>
          <w14:textFill>
            <w14:solidFill>
              <w14:schemeClr w14:val="tx1"/>
            </w14:solidFill>
          </w14:textFill>
        </w:rPr>
        <w:t>万株</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666.7m</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～0.</w:t>
      </w:r>
      <w:r>
        <w:rPr>
          <w:rFonts w:hint="eastAsia"/>
          <w:color w:val="000000" w:themeColor="text1"/>
          <w:lang w:val="en-US" w:eastAsia="zh-CN"/>
          <w14:textFill>
            <w14:solidFill>
              <w14:schemeClr w14:val="tx1"/>
            </w14:solidFill>
          </w14:textFill>
        </w:rPr>
        <w:t xml:space="preserve">7 </w:t>
      </w:r>
      <w:r>
        <w:rPr>
          <w:color w:val="000000" w:themeColor="text1"/>
          <w14:textFill>
            <w14:solidFill>
              <w14:schemeClr w14:val="tx1"/>
            </w14:solidFill>
          </w14:textFill>
        </w:rPr>
        <w:t>万株</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666.7m</w:t>
      </w:r>
      <w:r>
        <w:rPr>
          <w:color w:val="000000" w:themeColor="text1"/>
          <w:vertAlign w:val="superscript"/>
          <w14:textFill>
            <w14:solidFill>
              <w14:schemeClr w14:val="tx1"/>
            </w14:solidFill>
          </w14:textFill>
        </w:rPr>
        <w:t>2</w:t>
      </w:r>
      <w:r>
        <w:rPr>
          <w:rFonts w:hint="eastAsia"/>
          <w:color w:val="000000" w:themeColor="text1"/>
          <w14:textFill>
            <w14:solidFill>
              <w14:schemeClr w14:val="tx1"/>
            </w14:solidFill>
          </w14:textFill>
        </w:rPr>
        <w:t>）</w:t>
      </w:r>
      <w:r>
        <w:t>。宽窄行覆膜种植，3窄1宽，窄行</w:t>
      </w:r>
      <w:r>
        <w:rPr>
          <w:rFonts w:hint="eastAsia"/>
          <w:lang w:val="en-US" w:eastAsia="zh-CN"/>
        </w:rPr>
        <w:t>30.00 c</w:t>
      </w:r>
      <w:r>
        <w:t>m</w:t>
      </w:r>
      <w:r>
        <w:rPr>
          <w:rFonts w:hint="eastAsia"/>
        </w:rPr>
        <w:t>，</w:t>
      </w:r>
      <w:r>
        <w:t>宽行</w:t>
      </w:r>
      <w:r>
        <w:rPr>
          <w:rFonts w:hint="eastAsia"/>
          <w:lang w:val="en-US" w:eastAsia="zh-CN"/>
        </w:rPr>
        <w:t>50.00 c</w:t>
      </w:r>
      <w:r>
        <w:t>m</w:t>
      </w:r>
      <w:r>
        <w:rPr>
          <w:rFonts w:hint="eastAsia"/>
        </w:rPr>
        <w:t>，</w:t>
      </w:r>
      <w:r>
        <w:t>穴距</w:t>
      </w:r>
      <w:r>
        <w:rPr>
          <w:rFonts w:hint="eastAsia"/>
        </w:rPr>
        <w:t>25</w:t>
      </w:r>
      <w:r>
        <w:rPr>
          <w:rFonts w:hint="eastAsia"/>
          <w:lang w:val="en-US" w:eastAsia="zh-CN"/>
        </w:rPr>
        <w:t>.00</w:t>
      </w:r>
      <w:r>
        <w:rPr>
          <w:rFonts w:hint="eastAsia"/>
        </w:rPr>
        <w:t xml:space="preserve"> </w:t>
      </w:r>
      <w:r>
        <w:t>cm～35</w:t>
      </w:r>
      <w:r>
        <w:rPr>
          <w:rFonts w:hint="eastAsia"/>
          <w:lang w:val="en-US" w:eastAsia="zh-CN"/>
        </w:rPr>
        <w:t>.00</w:t>
      </w:r>
      <w:r>
        <w:rPr>
          <w:rFonts w:hint="eastAsia"/>
        </w:rPr>
        <w:t xml:space="preserve"> </w:t>
      </w:r>
      <w:r>
        <w:t>cm。</w:t>
      </w:r>
    </w:p>
    <w:p>
      <w:pPr>
        <w:pStyle w:val="105"/>
        <w:spacing w:before="120" w:after="120"/>
      </w:pPr>
      <w:bookmarkStart w:id="71" w:name="_Toc31924"/>
      <w:bookmarkStart w:id="72" w:name="_Toc231222804"/>
      <w:bookmarkStart w:id="73" w:name="_Toc1940"/>
      <w:r>
        <w:t>田间管理</w:t>
      </w:r>
      <w:bookmarkEnd w:id="71"/>
      <w:bookmarkEnd w:id="72"/>
      <w:bookmarkEnd w:id="73"/>
    </w:p>
    <w:p>
      <w:pPr>
        <w:pStyle w:val="65"/>
        <w:spacing w:before="120" w:after="120"/>
      </w:pPr>
      <w:bookmarkStart w:id="74" w:name="OLE_LINK3"/>
      <w:r>
        <w:t>中耕除草</w:t>
      </w:r>
    </w:p>
    <w:bookmarkEnd w:id="74"/>
    <w:p>
      <w:pPr>
        <w:pStyle w:val="56"/>
        <w:ind w:firstLine="420"/>
      </w:pPr>
      <w:r>
        <w:t>蚕豆苗期四叶期至初花期，</w:t>
      </w:r>
      <w:r>
        <w:rPr>
          <w:rFonts w:hint="eastAsia"/>
        </w:rPr>
        <w:t>推荐使用</w:t>
      </w:r>
      <w:r>
        <w:rPr>
          <w:rFonts w:hint="eastAsia"/>
          <w:szCs w:val="24"/>
        </w:rPr>
        <w:t>3 750</w:t>
      </w:r>
      <w:r>
        <w:rPr>
          <w:rFonts w:hint="eastAsia"/>
          <w:szCs w:val="24"/>
          <w:lang w:val="en-US" w:eastAsia="zh-CN"/>
        </w:rPr>
        <w:t>.00</w:t>
      </w:r>
      <w:r>
        <w:rPr>
          <w:rFonts w:hint="eastAsia"/>
          <w:szCs w:val="24"/>
        </w:rPr>
        <w:t xml:space="preserve"> </w:t>
      </w:r>
      <w:r>
        <w:rPr>
          <w:szCs w:val="24"/>
        </w:rPr>
        <w:t>m</w:t>
      </w:r>
      <w:r>
        <w:rPr>
          <w:rFonts w:hint="eastAsia" w:eastAsia="黑体"/>
          <w:color w:val="000000" w:themeColor="text1"/>
          <w14:textFill>
            <w14:solidFill>
              <w14:schemeClr w14:val="tx1"/>
            </w14:solidFill>
          </w14:textFill>
        </w:rPr>
        <w:t>L</w:t>
      </w:r>
      <w:r>
        <w:rPr>
          <w:szCs w:val="22"/>
        </w:rPr>
        <w:t>/</w:t>
      </w:r>
      <w:r>
        <w:rPr>
          <w:rFonts w:hint="eastAsia"/>
          <w:szCs w:val="22"/>
        </w:rPr>
        <w:t>hm</w:t>
      </w:r>
      <w:r>
        <w:rPr>
          <w:rFonts w:hint="eastAsia"/>
          <w:szCs w:val="22"/>
          <w:vertAlign w:val="superscript"/>
        </w:rPr>
        <w:t>2</w:t>
      </w:r>
      <w:r>
        <w:t xml:space="preserve"> 48%排草丹AS</w:t>
      </w:r>
      <w:r>
        <w:rPr>
          <w:rFonts w:hint="eastAsia"/>
        </w:rPr>
        <w:t>和</w:t>
      </w:r>
      <w:r>
        <w:rPr>
          <w:rFonts w:hint="eastAsia"/>
          <w:szCs w:val="24"/>
        </w:rPr>
        <w:t>900</w:t>
      </w:r>
      <w:r>
        <w:rPr>
          <w:rFonts w:hint="eastAsia"/>
          <w:szCs w:val="24"/>
          <w:lang w:val="en-US" w:eastAsia="zh-CN"/>
        </w:rPr>
        <w:t>.00</w:t>
      </w:r>
      <w:r>
        <w:rPr>
          <w:rFonts w:hint="eastAsia"/>
          <w:szCs w:val="24"/>
        </w:rPr>
        <w:t xml:space="preserve"> </w:t>
      </w:r>
      <w:r>
        <w:rPr>
          <w:szCs w:val="24"/>
        </w:rPr>
        <w:t>m</w:t>
      </w:r>
      <w:r>
        <w:rPr>
          <w:rFonts w:hint="eastAsia" w:eastAsia="黑体"/>
          <w:color w:val="000000" w:themeColor="text1"/>
          <w14:textFill>
            <w14:solidFill>
              <w14:schemeClr w14:val="tx1"/>
            </w14:solidFill>
          </w14:textFill>
        </w:rPr>
        <w:t>L</w:t>
      </w:r>
      <w:r>
        <w:rPr>
          <w:szCs w:val="22"/>
        </w:rPr>
        <w:t>/</w:t>
      </w:r>
      <w:r>
        <w:rPr>
          <w:rFonts w:hint="eastAsia"/>
          <w:szCs w:val="22"/>
        </w:rPr>
        <w:t>hm</w:t>
      </w:r>
      <w:r>
        <w:rPr>
          <w:rFonts w:hint="eastAsia"/>
          <w:szCs w:val="22"/>
          <w:vertAlign w:val="superscript"/>
        </w:rPr>
        <w:t>2</w:t>
      </w:r>
      <w:r>
        <w:t xml:space="preserve"> 精喹禾灵</w:t>
      </w:r>
      <w:r>
        <w:rPr>
          <w:rFonts w:hint="eastAsia"/>
        </w:rPr>
        <w:t>兑水</w:t>
      </w:r>
      <w:r>
        <w:rPr>
          <w:rFonts w:hint="eastAsia"/>
          <w:lang w:val="en-US" w:eastAsia="zh-CN"/>
        </w:rPr>
        <w:t>2300.00 kg</w:t>
      </w:r>
      <w:r>
        <w:t>水，于晴天无风、田间墒情较好时均匀叶面喷雾。</w:t>
      </w:r>
      <w:r>
        <w:rPr>
          <w:rFonts w:hint="eastAsia"/>
          <w:szCs w:val="24"/>
        </w:rPr>
        <w:t>农药使用按</w:t>
      </w:r>
      <w:bookmarkStart w:id="75" w:name="OLE_LINK2"/>
      <w:r>
        <w:t>NY/T 1276</w:t>
      </w:r>
      <w:bookmarkEnd w:id="75"/>
      <w:r>
        <w:t>-2025</w:t>
      </w:r>
      <w:r>
        <w:rPr>
          <w:rFonts w:hint="eastAsia"/>
        </w:rPr>
        <w:t>和</w:t>
      </w:r>
      <w:r>
        <w:t>NY/T 1997-2011</w:t>
      </w:r>
      <w:r>
        <w:rPr>
          <w:rFonts w:hint="eastAsia"/>
        </w:rPr>
        <w:t>执行。</w:t>
      </w:r>
    </w:p>
    <w:p>
      <w:pPr>
        <w:pStyle w:val="65"/>
        <w:spacing w:before="120" w:after="120"/>
      </w:pPr>
      <w:r>
        <w:rPr>
          <w:rFonts w:hint="eastAsia"/>
        </w:rPr>
        <w:t>追肥</w:t>
      </w:r>
    </w:p>
    <w:p>
      <w:pPr>
        <w:pStyle w:val="56"/>
        <w:ind w:firstLine="420"/>
      </w:pPr>
      <w:r>
        <w:t>初花期视苗情施尿素75</w:t>
      </w:r>
      <w:r>
        <w:rPr>
          <w:rFonts w:hint="eastAsia"/>
          <w:lang w:val="en-US" w:eastAsia="zh-CN"/>
        </w:rPr>
        <w:t>.00</w:t>
      </w:r>
      <w:r>
        <w:rPr>
          <w:rFonts w:hint="eastAsia"/>
        </w:rPr>
        <w:t xml:space="preserve"> </w:t>
      </w:r>
      <w:r>
        <w:rPr>
          <w:szCs w:val="22"/>
        </w:rPr>
        <w:t>kg/</w:t>
      </w:r>
      <w:r>
        <w:rPr>
          <w:rFonts w:hint="eastAsia"/>
          <w:szCs w:val="22"/>
        </w:rPr>
        <w:t>hm</w:t>
      </w:r>
      <w:r>
        <w:rPr>
          <w:rFonts w:hint="eastAsia"/>
          <w:szCs w:val="22"/>
          <w:vertAlign w:val="superscript"/>
        </w:rPr>
        <w:t>2</w:t>
      </w:r>
      <w:r>
        <w:t>～150</w:t>
      </w:r>
      <w:r>
        <w:rPr>
          <w:rFonts w:hint="eastAsia"/>
          <w:lang w:val="en-US" w:eastAsia="zh-CN"/>
        </w:rPr>
        <w:t>.00</w:t>
      </w:r>
      <w:r>
        <w:rPr>
          <w:rFonts w:hint="eastAsia"/>
        </w:rPr>
        <w:t xml:space="preserve"> </w:t>
      </w:r>
      <w:r>
        <w:rPr>
          <w:szCs w:val="22"/>
        </w:rPr>
        <w:t>kg/</w:t>
      </w:r>
      <w:r>
        <w:rPr>
          <w:rFonts w:hint="eastAsia"/>
          <w:szCs w:val="22"/>
        </w:rPr>
        <w:t>hm</w:t>
      </w:r>
      <w:r>
        <w:rPr>
          <w:rFonts w:hint="eastAsia"/>
          <w:szCs w:val="22"/>
          <w:vertAlign w:val="superscript"/>
        </w:rPr>
        <w:t>2</w:t>
      </w:r>
      <w:r>
        <w:t>或喷施</w:t>
      </w:r>
      <w:r>
        <w:rPr>
          <w:rFonts w:hint="eastAsia"/>
        </w:rPr>
        <w:t xml:space="preserve">磷酸二氢钾0.45 </w:t>
      </w:r>
      <w:r>
        <w:rPr>
          <w:szCs w:val="22"/>
        </w:rPr>
        <w:t>kg/</w:t>
      </w:r>
      <w:r>
        <w:rPr>
          <w:rFonts w:hint="eastAsia"/>
          <w:szCs w:val="22"/>
        </w:rPr>
        <w:t>hm</w:t>
      </w:r>
      <w:r>
        <w:rPr>
          <w:rFonts w:hint="eastAsia"/>
          <w:szCs w:val="22"/>
          <w:vertAlign w:val="superscript"/>
        </w:rPr>
        <w:t>2</w:t>
      </w:r>
      <w:r>
        <w:t>～</w:t>
      </w:r>
      <w:r>
        <w:rPr>
          <w:rFonts w:hint="eastAsia"/>
        </w:rPr>
        <w:t xml:space="preserve">0.68 </w:t>
      </w:r>
      <w:r>
        <w:rPr>
          <w:szCs w:val="22"/>
        </w:rPr>
        <w:t>kg/</w:t>
      </w:r>
      <w:r>
        <w:rPr>
          <w:rFonts w:hint="eastAsia"/>
          <w:szCs w:val="22"/>
        </w:rPr>
        <w:t>hm</w:t>
      </w:r>
      <w:r>
        <w:rPr>
          <w:rFonts w:hint="eastAsia"/>
          <w:szCs w:val="22"/>
          <w:vertAlign w:val="superscript"/>
        </w:rPr>
        <w:t>2</w:t>
      </w:r>
      <w:r>
        <w:t>。</w:t>
      </w:r>
    </w:p>
    <w:p>
      <w:pPr>
        <w:pStyle w:val="65"/>
        <w:spacing w:before="120" w:after="120"/>
      </w:pPr>
      <w:r>
        <w:t>灌溉</w:t>
      </w:r>
    </w:p>
    <w:p>
      <w:pPr>
        <w:pStyle w:val="56"/>
        <w:ind w:firstLine="420"/>
      </w:pPr>
      <w:r>
        <w:t>灌溉农业区，在苗期及花荚期进行灌溉，按DB63/T 919-2025执行。</w:t>
      </w:r>
    </w:p>
    <w:p>
      <w:pPr>
        <w:pStyle w:val="105"/>
        <w:spacing w:before="120" w:after="120"/>
      </w:pPr>
      <w:bookmarkStart w:id="76" w:name="_Toc3747"/>
      <w:bookmarkStart w:id="77" w:name="_Toc231222805"/>
      <w:bookmarkStart w:id="78" w:name="_Toc30799"/>
      <w:r>
        <w:t>病虫害防治</w:t>
      </w:r>
      <w:bookmarkEnd w:id="76"/>
      <w:bookmarkEnd w:id="77"/>
      <w:bookmarkEnd w:id="78"/>
    </w:p>
    <w:p>
      <w:pPr>
        <w:pStyle w:val="56"/>
        <w:ind w:firstLine="420"/>
        <w:rPr>
          <w:color w:val="000000" w:themeColor="text1"/>
          <w14:textFill>
            <w14:solidFill>
              <w14:schemeClr w14:val="tx1"/>
            </w14:solidFill>
          </w14:textFill>
        </w:rPr>
      </w:pPr>
      <w:r>
        <w:rPr>
          <w:color w:val="000000" w:themeColor="text1"/>
          <w14:textFill>
            <w14:solidFill>
              <w14:schemeClr w14:val="tx1"/>
            </w14:solidFill>
          </w14:textFill>
        </w:rPr>
        <w:t>按DB63/T 919-2025执行。</w:t>
      </w:r>
    </w:p>
    <w:p>
      <w:pPr>
        <w:pStyle w:val="104"/>
        <w:spacing w:before="240" w:after="240"/>
      </w:pPr>
      <w:bookmarkStart w:id="79" w:name="_Toc4102"/>
      <w:bookmarkStart w:id="80" w:name="_Toc16509"/>
      <w:bookmarkStart w:id="81" w:name="_Toc231222806"/>
      <w:r>
        <w:t>收获</w:t>
      </w:r>
      <w:bookmarkEnd w:id="79"/>
      <w:bookmarkEnd w:id="80"/>
      <w:bookmarkEnd w:id="81"/>
    </w:p>
    <w:p>
      <w:pPr>
        <w:pStyle w:val="56"/>
        <w:ind w:firstLine="420"/>
      </w:pPr>
      <w:r>
        <w:t>鲜豆荚鼓粒饱满，鲜豆籽粒种脐颜色由黄显黑时即可采摘上市，速冻加工用青蚕豆以种脐颜色明显显黑时采收为宜。</w:t>
      </w:r>
      <w:r>
        <w:rPr>
          <w:rFonts w:hint="eastAsia"/>
        </w:rPr>
        <w:t>豆荚符合</w:t>
      </w:r>
      <w:r>
        <w:t>NY/T 748-2020</w:t>
      </w:r>
      <w:r>
        <w:rPr>
          <w:rFonts w:hint="eastAsia"/>
        </w:rPr>
        <w:t>的要求。</w:t>
      </w:r>
    </w:p>
    <w:p>
      <w:pPr>
        <w:pStyle w:val="56"/>
        <w:ind w:firstLine="420"/>
        <w:sectPr>
          <w:pgSz w:w="11906" w:h="16838"/>
          <w:pgMar w:top="1928" w:right="1134" w:bottom="1134" w:left="1134" w:header="1418" w:footer="1134" w:gutter="284"/>
          <w:pgNumType w:start="1"/>
          <w:cols w:space="425" w:num="1"/>
          <w:formProt w:val="0"/>
          <w:docGrid w:linePitch="312" w:charSpace="0"/>
        </w:sectPr>
      </w:pPr>
    </w:p>
    <w:bookmarkEnd w:id="23"/>
    <w:p>
      <w:pPr>
        <w:pStyle w:val="198"/>
      </w:pPr>
      <w:bookmarkStart w:id="82" w:name="BookMark5"/>
    </w:p>
    <w:p>
      <w:pPr>
        <w:pStyle w:val="199"/>
      </w:pPr>
    </w:p>
    <w:p>
      <w:pPr>
        <w:pStyle w:val="76"/>
        <w:spacing w:after="120"/>
      </w:pPr>
      <w:r>
        <w:br w:type="textWrapping"/>
      </w:r>
      <w:bookmarkStart w:id="83" w:name="_Toc231222807"/>
      <w:r>
        <w:rPr>
          <w:rFonts w:hint="eastAsia"/>
        </w:rPr>
        <w:t>（资料性）</w:t>
      </w:r>
      <w:r>
        <w:br w:type="textWrapping"/>
      </w:r>
      <w:r>
        <w:rPr>
          <w:rFonts w:hint="eastAsia"/>
        </w:rPr>
        <w:t>推荐鲜食蚕豆品种</w:t>
      </w:r>
      <w:bookmarkEnd w:id="83"/>
    </w:p>
    <w:p>
      <w:pPr>
        <w:pStyle w:val="78"/>
        <w:spacing w:before="120" w:after="120"/>
      </w:pPr>
      <w:r>
        <w:rPr>
          <w:rFonts w:hint="eastAsia"/>
        </w:rPr>
        <w:t>品种来源</w:t>
      </w:r>
    </w:p>
    <w:p>
      <w:pPr>
        <w:pStyle w:val="56"/>
        <w:ind w:firstLine="420"/>
      </w:pPr>
      <w:r>
        <w:t>青蚕21号于2022 年由青海省农林科学院杂交选育并经非主要农作物品种登记和植物新品种保护的粮菜兼用的蚕豆新品种</w:t>
      </w:r>
      <w:r>
        <w:rPr>
          <w:szCs w:val="21"/>
        </w:rPr>
        <w:t>。</w:t>
      </w:r>
      <w:r>
        <w:t>青蚕27号、青蚕28号于2024 年分别由青海省农林科学院和青海大学选育并申请非主要农作物品种登记的鲜食菜用的蚕豆新品种。</w:t>
      </w:r>
    </w:p>
    <w:p>
      <w:pPr>
        <w:pStyle w:val="78"/>
        <w:spacing w:before="120" w:after="120"/>
      </w:pPr>
      <w:bookmarkStart w:id="84" w:name="_Toc355"/>
      <w:bookmarkStart w:id="85" w:name="_Toc1951"/>
      <w:r>
        <w:t>品种特征特性</w:t>
      </w:r>
      <w:bookmarkEnd w:id="84"/>
      <w:bookmarkEnd w:id="85"/>
    </w:p>
    <w:p>
      <w:pPr>
        <w:pStyle w:val="56"/>
        <w:ind w:firstLine="420"/>
      </w:pPr>
      <w:r>
        <w:t>青蚕21号，春性，粮菜兼用型；始荚高；春播区生育期134-164天，晚熟品种。叶色绿，花（旗瓣）白色。株形紧凑，株高1</w:t>
      </w:r>
      <w:r>
        <w:rPr>
          <w:rFonts w:hint="eastAsia"/>
          <w:lang w:val="en-US" w:eastAsia="zh-CN"/>
        </w:rPr>
        <w:t>3</w:t>
      </w:r>
      <w:r>
        <w:t>0</w:t>
      </w:r>
      <w:r>
        <w:rPr>
          <w:rFonts w:hint="eastAsia"/>
          <w:lang w:val="en-US" w:eastAsia="zh-CN"/>
        </w:rPr>
        <w:t>.00</w:t>
      </w:r>
      <w:r>
        <w:t>~1</w:t>
      </w:r>
      <w:r>
        <w:rPr>
          <w:rFonts w:hint="eastAsia"/>
          <w:lang w:val="en-US" w:eastAsia="zh-CN"/>
        </w:rPr>
        <w:t>4</w:t>
      </w:r>
      <w:r>
        <w:t>0</w:t>
      </w:r>
      <w:r>
        <w:rPr>
          <w:rFonts w:hint="eastAsia"/>
          <w:lang w:val="en-US" w:eastAsia="zh-CN"/>
        </w:rPr>
        <w:t>.00 cm</w:t>
      </w:r>
      <w:r>
        <w:t>、有效分枝数2.35个、单株有效荚数14.81个、单株粒数32.73粒、单荚粒数2.21粒、百粒重196.66</w:t>
      </w:r>
      <w:r>
        <w:rPr>
          <w:rFonts w:hint="eastAsia"/>
          <w:lang w:val="en-US" w:eastAsia="zh-CN"/>
        </w:rPr>
        <w:t xml:space="preserve"> g</w:t>
      </w:r>
      <w:r>
        <w:t>、单株产量63.50</w:t>
      </w:r>
      <w:r>
        <w:rPr>
          <w:rFonts w:hint="eastAsia"/>
          <w:lang w:val="en-US" w:eastAsia="zh-CN"/>
        </w:rPr>
        <w:t xml:space="preserve"> g</w:t>
      </w:r>
      <w:r>
        <w:t>。粗蛋白含量30.08%，淀粉44.00%。赤斑病抗性大田和室内均为中抗。一般肥力条件下产量4500.00</w:t>
      </w:r>
      <w:r>
        <w:rPr>
          <w:rFonts w:hint="eastAsia"/>
          <w:lang w:val="en-US" w:eastAsia="zh-CN"/>
        </w:rPr>
        <w:t xml:space="preserve"> </w:t>
      </w:r>
      <w:r>
        <w:t>kg/hm</w:t>
      </w:r>
      <w:r>
        <w:rPr>
          <w:vertAlign w:val="superscript"/>
        </w:rPr>
        <w:t>2</w:t>
      </w:r>
      <w:r>
        <w:t>～6000.00</w:t>
      </w:r>
      <w:r>
        <w:rPr>
          <w:rFonts w:hint="eastAsia"/>
          <w:lang w:val="en-US" w:eastAsia="zh-CN"/>
        </w:rPr>
        <w:t xml:space="preserve"> </w:t>
      </w:r>
      <w:r>
        <w:t>kg/hm</w:t>
      </w:r>
      <w:r>
        <w:rPr>
          <w:vertAlign w:val="superscript"/>
        </w:rPr>
        <w:t>2</w:t>
      </w:r>
      <w:r>
        <w:t>，高肥力水平下产量达6000.00 kg/hm</w:t>
      </w:r>
      <w:r>
        <w:rPr>
          <w:vertAlign w:val="superscript"/>
        </w:rPr>
        <w:t>2</w:t>
      </w:r>
      <w:r>
        <w:t>以上。</w:t>
      </w:r>
    </w:p>
    <w:p>
      <w:pPr>
        <w:pStyle w:val="56"/>
        <w:ind w:firstLine="420"/>
      </w:pPr>
      <w:r>
        <w:t>青蚕27号，春性，鲜食用蚕豆品种；始荚高；春播区全生育期140~160天，晚熟品种。叶色绿，花（旗瓣）白色。株形紧凑，株高 120</w:t>
      </w:r>
      <w:r>
        <w:rPr>
          <w:rFonts w:hint="eastAsia"/>
          <w:lang w:val="en-US" w:eastAsia="zh-CN"/>
        </w:rPr>
        <w:t>.00</w:t>
      </w:r>
      <w:r>
        <w:t>~130</w:t>
      </w:r>
      <w:r>
        <w:rPr>
          <w:rFonts w:hint="eastAsia"/>
          <w:lang w:val="en-US" w:eastAsia="zh-CN"/>
        </w:rPr>
        <w:t>.00 cm</w:t>
      </w:r>
      <w:r>
        <w:t>，单株枝数 3~4 个；幻茎紫色，叶色绿色，茎秆粗，荚姿下垂。荚内胚珠数 3~4 个；鲜荚青色有光泽；籽粒白绿色、阔薄形；有效枝数为2.5</w:t>
      </w:r>
      <w:r>
        <w:rPr>
          <w:rFonts w:hint="eastAsia"/>
          <w:lang w:val="en-US" w:eastAsia="zh-CN"/>
        </w:rPr>
        <w:t>0</w:t>
      </w:r>
      <w:bookmarkStart w:id="87" w:name="_GoBack"/>
      <w:bookmarkEnd w:id="87"/>
      <w:r>
        <w:t>个，单株荚数为10.0</w:t>
      </w:r>
      <w:r>
        <w:rPr>
          <w:rFonts w:hint="eastAsia"/>
          <w:lang w:val="en-US" w:eastAsia="zh-CN"/>
        </w:rPr>
        <w:t>0</w:t>
      </w:r>
      <w:r>
        <w:t>个，单株粒数为27.2</w:t>
      </w:r>
      <w:r>
        <w:rPr>
          <w:rFonts w:hint="eastAsia"/>
          <w:lang w:val="en-US" w:eastAsia="zh-CN"/>
        </w:rPr>
        <w:t>0</w:t>
      </w:r>
      <w:r>
        <w:t>粒，单株产量52.6</w:t>
      </w:r>
      <w:r>
        <w:rPr>
          <w:rFonts w:hint="eastAsia"/>
          <w:lang w:val="en-US" w:eastAsia="zh-CN"/>
        </w:rPr>
        <w:t>0 g</w:t>
      </w:r>
      <w:r>
        <w:t>，百粒重为195.6</w:t>
      </w:r>
      <w:r>
        <w:rPr>
          <w:rFonts w:hint="eastAsia"/>
          <w:lang w:val="en-US" w:eastAsia="zh-CN"/>
        </w:rPr>
        <w:t>0 g</w:t>
      </w:r>
      <w:r>
        <w:t>，种脐黑色。粗蛋白含量28.96%，淀粉42.30%。赤斑病抗性大田和室内均为中抗。</w:t>
      </w:r>
    </w:p>
    <w:p>
      <w:pPr>
        <w:pStyle w:val="56"/>
        <w:ind w:firstLine="420"/>
      </w:pPr>
      <w:r>
        <w:t>青蚕28号，春性，鲜食用蚕豆品种；始荚高；春播区全生育期134~164天，晚熟品种。叶色绿，花（旗瓣）白色。株形紧凑，株高 120</w:t>
      </w:r>
      <w:r>
        <w:rPr>
          <w:rFonts w:hint="eastAsia"/>
          <w:lang w:val="en-US" w:eastAsia="zh-CN"/>
        </w:rPr>
        <w:t>.00</w:t>
      </w:r>
      <w:r>
        <w:t>~130</w:t>
      </w:r>
      <w:r>
        <w:rPr>
          <w:rFonts w:hint="eastAsia"/>
          <w:lang w:val="en-US" w:eastAsia="zh-CN"/>
        </w:rPr>
        <w:t>.00</w:t>
      </w:r>
      <w:r>
        <w:t xml:space="preserve"> </w:t>
      </w:r>
      <w:r>
        <w:rPr>
          <w:rFonts w:hint="eastAsia"/>
          <w:lang w:val="en-US" w:eastAsia="zh-CN"/>
        </w:rPr>
        <w:t>cm</w:t>
      </w:r>
      <w:r>
        <w:t>，单株枝数 3~4 个；幻茎紫色，叶色绿色，茎秆粗，荚姿下垂。荚内胚珠数 3~4 个；鲜荚青色有光泽；籽粒浅绿色、阔薄形；有效枝数为2.5</w:t>
      </w:r>
      <w:r>
        <w:rPr>
          <w:rFonts w:hint="eastAsia"/>
          <w:lang w:val="en-US" w:eastAsia="zh-CN"/>
        </w:rPr>
        <w:t>0</w:t>
      </w:r>
      <w:r>
        <w:t>个，单株荚数为10.5</w:t>
      </w:r>
      <w:r>
        <w:rPr>
          <w:rFonts w:hint="eastAsia"/>
          <w:lang w:val="en-US" w:eastAsia="zh-CN"/>
        </w:rPr>
        <w:t>0</w:t>
      </w:r>
      <w:r>
        <w:t>个，单株粒数为29.03粒，单株产量55.8</w:t>
      </w:r>
      <w:r>
        <w:rPr>
          <w:rFonts w:hint="eastAsia"/>
          <w:lang w:val="en-US" w:eastAsia="zh-CN"/>
        </w:rPr>
        <w:t>0 g</w:t>
      </w:r>
      <w:r>
        <w:t>，百粒重为194.8</w:t>
      </w:r>
      <w:r>
        <w:rPr>
          <w:rFonts w:hint="eastAsia"/>
          <w:lang w:val="en-US" w:eastAsia="zh-CN"/>
        </w:rPr>
        <w:t>0 g</w:t>
      </w:r>
      <w:r>
        <w:t>，种脐黑色。粗蛋白含量28.98%，淀粉42.30%。赤斑病抗性大田和室内均为中抗。</w:t>
      </w:r>
    </w:p>
    <w:p>
      <w:pPr>
        <w:pStyle w:val="56"/>
        <w:ind w:firstLine="420"/>
      </w:pPr>
      <w:r>
        <w:t>青蚕21号、青蚕27号、青蚕28号 3个品种以鲜食发展为宜。</w:t>
      </w:r>
    </w:p>
    <w:bookmarkEnd w:id="82"/>
    <w:p>
      <w:pPr>
        <w:pStyle w:val="56"/>
        <w:ind w:firstLine="0" w:firstLineChars="0"/>
        <w:jc w:val="center"/>
      </w:pPr>
      <w:bookmarkStart w:id="86" w:name="BookMark8"/>
      <w:r>
        <w:drawing>
          <wp:inline distT="0" distB="0" distL="0" distR="0">
            <wp:extent cx="1485900" cy="317500"/>
            <wp:effectExtent l="0" t="0" r="0" b="6350"/>
            <wp:docPr id="3" name="图片 3"/>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3">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86"/>
    </w:p>
    <w:sectPr>
      <w:pgSz w:w="11906" w:h="16838"/>
      <w:pgMar w:top="1928" w:right="1134" w:bottom="1134" w:left="1134" w:header="1418" w:footer="1134" w:gutter="284"/>
      <w:cols w:space="425" w:num="1"/>
      <w:formProt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Arial Unicode MS">
    <w:altName w:val="Malgun Gothic Semilight"/>
    <w:panose1 w:val="020B0604020202020204"/>
    <w:charset w:val="86"/>
    <w:family w:val="swiss"/>
    <w:pitch w:val="default"/>
    <w:sig w:usb0="00000000" w:usb1="00000000" w:usb2="0000003F" w:usb3="00000000" w:csb0="003F01FF" w:csb1="00000000"/>
  </w:font>
  <w:font w:name="Malgun Gothic Semilight">
    <w:panose1 w:val="020B0502040204020203"/>
    <w:charset w:val="86"/>
    <w:family w:val="auto"/>
    <w:pitch w:val="default"/>
    <w:sig w:usb0="900002AF" w:usb1="01D77CFB" w:usb2="00000012" w:usb3="00000000" w:csb0="203E01BD"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PAGE   \* MERGEFORMAT</w:instrText>
    </w:r>
    <w:r>
      <w:fldChar w:fldCharType="separate"/>
    </w:r>
    <w:r>
      <w:rPr>
        <w:lang w:val="zh-CN"/>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pPr>
    <w:r>
      <w:fldChar w:fldCharType="begin"/>
    </w:r>
    <w:r>
      <w:instrText xml:space="preserve"> STYLEREF  标准文件_文件编号  \* MERGEFORMAT </w:instrText>
    </w:r>
    <w:r>
      <w:fldChar w:fldCharType="separate"/>
    </w:r>
    <w:r>
      <w:t>T/QHNX XXXX—2026</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right"/>
    </w:pPr>
    <w:r>
      <w:fldChar w:fldCharType="begin"/>
    </w:r>
    <w:r>
      <w:instrText xml:space="preserve"> STYLEREF  标准文件_文件编号  \* MERGEFORMAT </w:instrText>
    </w:r>
    <w:r>
      <w:fldChar w:fldCharType="separate"/>
    </w:r>
    <w:r>
      <w:t>T/QHNX XXXX—2026</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attachedTemplate r:id="rId1"/>
  <w:documentProtection w:edit="forms"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CA6"/>
    <w:rsid w:val="0000040A"/>
    <w:rsid w:val="00000A94"/>
    <w:rsid w:val="00001972"/>
    <w:rsid w:val="00001D9A"/>
    <w:rsid w:val="00002D44"/>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4A3A"/>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286F"/>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251B"/>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06F3F"/>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1FAF"/>
    <w:rsid w:val="00432DAA"/>
    <w:rsid w:val="00434305"/>
    <w:rsid w:val="00435DF7"/>
    <w:rsid w:val="0043741A"/>
    <w:rsid w:val="0044083F"/>
    <w:rsid w:val="00441AE7"/>
    <w:rsid w:val="00445574"/>
    <w:rsid w:val="004467FB"/>
    <w:rsid w:val="00452D6B"/>
    <w:rsid w:val="00453741"/>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1448"/>
    <w:rsid w:val="004D2253"/>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2F04"/>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A3D27"/>
    <w:rsid w:val="006B2672"/>
    <w:rsid w:val="006B54BF"/>
    <w:rsid w:val="006B5F44"/>
    <w:rsid w:val="006B5F90"/>
    <w:rsid w:val="006B62E4"/>
    <w:rsid w:val="006C1BBA"/>
    <w:rsid w:val="006C2079"/>
    <w:rsid w:val="006C5A62"/>
    <w:rsid w:val="006C5D68"/>
    <w:rsid w:val="006C6976"/>
    <w:rsid w:val="006C6DD0"/>
    <w:rsid w:val="006D04EA"/>
    <w:rsid w:val="006D16C4"/>
    <w:rsid w:val="006D202B"/>
    <w:rsid w:val="006D3E96"/>
    <w:rsid w:val="006D4515"/>
    <w:rsid w:val="006D4BB1"/>
    <w:rsid w:val="006D6593"/>
    <w:rsid w:val="006E28E0"/>
    <w:rsid w:val="006F03A8"/>
    <w:rsid w:val="006F1377"/>
    <w:rsid w:val="006F2ACA"/>
    <w:rsid w:val="006F2ADC"/>
    <w:rsid w:val="006F2BFE"/>
    <w:rsid w:val="006F31E9"/>
    <w:rsid w:val="006F6284"/>
    <w:rsid w:val="007002C5"/>
    <w:rsid w:val="00704387"/>
    <w:rsid w:val="00707669"/>
    <w:rsid w:val="00711CBA"/>
    <w:rsid w:val="00711FB5"/>
    <w:rsid w:val="00712A01"/>
    <w:rsid w:val="00714F58"/>
    <w:rsid w:val="00717A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8790B"/>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6C4F"/>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0F59"/>
    <w:rsid w:val="00953604"/>
    <w:rsid w:val="0095496B"/>
    <w:rsid w:val="0095609D"/>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9F35EB"/>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5799"/>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6980"/>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170F4"/>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0FF2"/>
    <w:rsid w:val="00ED2B50"/>
    <w:rsid w:val="00ED75C2"/>
    <w:rsid w:val="00EE0350"/>
    <w:rsid w:val="00EE0719"/>
    <w:rsid w:val="00EE0E80"/>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1A20"/>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1CA6"/>
    <w:rsid w:val="00FF3E7D"/>
    <w:rsid w:val="00FF5B99"/>
    <w:rsid w:val="00FF730C"/>
    <w:rsid w:val="00FF73F4"/>
    <w:rsid w:val="00FF7CE4"/>
    <w:rsid w:val="00FF7E39"/>
    <w:rsid w:val="3F9E1F3F"/>
    <w:rsid w:val="5D5907D8"/>
    <w:rsid w:val="61377796"/>
    <w:rsid w:val="7CA14B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semiHidden/>
    <w:unhideWhenUsed/>
    <w:uiPriority w:val="1"/>
  </w:style>
  <w:style w:type="table" w:default="1" w:styleId="26">
    <w:name w:val="Normal Table"/>
    <w:semiHidden/>
    <w:unhideWhenUsed/>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0"/>
    <w:pPr>
      <w:spacing w:after="120"/>
    </w:pPr>
  </w:style>
  <w:style w:type="paragraph" w:styleId="14">
    <w:name w:val="toc 5"/>
    <w:basedOn w:val="1"/>
    <w:next w:val="1"/>
    <w:unhideWhenUsed/>
    <w:qFormat/>
    <w:uiPriority w:val="39"/>
    <w:pPr>
      <w:ind w:left="839"/>
    </w:pPr>
    <w:rPr>
      <w:rFonts w:ascii="宋体"/>
    </w:rPr>
  </w:style>
  <w:style w:type="paragraph" w:styleId="15">
    <w:name w:val="toc 3"/>
    <w:basedOn w:val="1"/>
    <w:next w:val="1"/>
    <w:unhideWhenUsed/>
    <w:qFormat/>
    <w:uiPriority w:val="39"/>
    <w:pPr>
      <w:spacing w:line="300" w:lineRule="exact"/>
      <w:ind w:left="420"/>
    </w:pPr>
    <w:rPr>
      <w:rFonts w:ascii="宋体"/>
    </w:rPr>
  </w:style>
  <w:style w:type="paragraph" w:styleId="16">
    <w:name w:val="Balloon Text"/>
    <w:basedOn w:val="1"/>
    <w:link w:val="45"/>
    <w:semiHidden/>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unhideWhenUsed/>
    <w:qFormat/>
    <w:uiPriority w:val="39"/>
    <w:rPr>
      <w:rFonts w:ascii="宋体"/>
    </w:rPr>
  </w:style>
  <w:style w:type="paragraph" w:styleId="20">
    <w:name w:val="toc 4"/>
    <w:basedOn w:val="1"/>
    <w:next w:val="1"/>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unhideWhenUsed/>
    <w:qFormat/>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8"/>
      <w:vertAlign w:val="superscript"/>
    </w:rPr>
  </w:style>
  <w:style w:type="character" w:customStyle="1" w:styleId="34">
    <w:name w:val="标题 1 字符"/>
    <w:link w:val="2"/>
    <w:qFormat/>
    <w:uiPriority w:val="0"/>
    <w:rPr>
      <w:b/>
      <w:bCs/>
      <w:kern w:val="44"/>
      <w:sz w:val="44"/>
      <w:szCs w:val="44"/>
    </w:rPr>
  </w:style>
  <w:style w:type="character" w:customStyle="1" w:styleId="35">
    <w:name w:val="标题 2 字符"/>
    <w:link w:val="3"/>
    <w:qFormat/>
    <w:uiPriority w:val="0"/>
    <w:rPr>
      <w:rFonts w:ascii="Arial" w:hAnsi="Arial" w:eastAsia="黑体"/>
      <w:b/>
      <w:bCs/>
      <w:kern w:val="2"/>
      <w:sz w:val="32"/>
      <w:szCs w:val="32"/>
    </w:rPr>
  </w:style>
  <w:style w:type="character" w:customStyle="1" w:styleId="36">
    <w:name w:val="标题 3 字符"/>
    <w:link w:val="4"/>
    <w:qFormat/>
    <w:uiPriority w:val="0"/>
    <w:rPr>
      <w:b/>
      <w:bCs/>
      <w:kern w:val="2"/>
      <w:sz w:val="32"/>
      <w:szCs w:val="32"/>
    </w:rPr>
  </w:style>
  <w:style w:type="character" w:customStyle="1" w:styleId="37">
    <w:name w:val="标题 4 字符"/>
    <w:link w:val="5"/>
    <w:qFormat/>
    <w:uiPriority w:val="0"/>
    <w:rPr>
      <w:rFonts w:ascii="Arial" w:hAnsi="Arial" w:eastAsia="黑体"/>
      <w:b/>
      <w:bCs/>
      <w:kern w:val="2"/>
      <w:sz w:val="28"/>
      <w:szCs w:val="28"/>
    </w:rPr>
  </w:style>
  <w:style w:type="character" w:customStyle="1" w:styleId="38">
    <w:name w:val="标题 5 字符"/>
    <w:link w:val="6"/>
    <w:qFormat/>
    <w:uiPriority w:val="0"/>
    <w:rPr>
      <w:b/>
      <w:bCs/>
      <w:kern w:val="2"/>
      <w:sz w:val="28"/>
      <w:szCs w:val="28"/>
    </w:rPr>
  </w:style>
  <w:style w:type="character" w:customStyle="1" w:styleId="39">
    <w:name w:val="标题 6 字符"/>
    <w:link w:val="7"/>
    <w:uiPriority w:val="0"/>
    <w:rPr>
      <w:rFonts w:ascii="Arial" w:hAnsi="Arial" w:eastAsia="黑体"/>
      <w:b/>
      <w:bCs/>
      <w:kern w:val="2"/>
      <w:sz w:val="24"/>
      <w:szCs w:val="24"/>
    </w:rPr>
  </w:style>
  <w:style w:type="character" w:customStyle="1" w:styleId="40">
    <w:name w:val="标题 7 字符"/>
    <w:link w:val="8"/>
    <w:qFormat/>
    <w:uiPriority w:val="0"/>
    <w:rPr>
      <w:b/>
      <w:bCs/>
      <w:kern w:val="2"/>
      <w:sz w:val="24"/>
      <w:szCs w:val="24"/>
    </w:rPr>
  </w:style>
  <w:style w:type="character" w:customStyle="1" w:styleId="41">
    <w:name w:val="标题 8 字符"/>
    <w:link w:val="9"/>
    <w:qFormat/>
    <w:uiPriority w:val="0"/>
    <w:rPr>
      <w:rFonts w:ascii="Arial" w:hAnsi="Arial" w:eastAsia="黑体"/>
      <w:kern w:val="2"/>
      <w:sz w:val="24"/>
      <w:szCs w:val="24"/>
    </w:rPr>
  </w:style>
  <w:style w:type="character" w:customStyle="1" w:styleId="42">
    <w:name w:val="标题 9 字符"/>
    <w:link w:val="10"/>
    <w:qFormat/>
    <w:uiPriority w:val="0"/>
    <w:rPr>
      <w:rFonts w:ascii="Arial" w:hAnsi="Arial" w:eastAsia="黑体"/>
      <w:kern w:val="2"/>
      <w:sz w:val="21"/>
      <w:szCs w:val="21"/>
    </w:rPr>
  </w:style>
  <w:style w:type="character" w:customStyle="1" w:styleId="43">
    <w:name w:val="页眉 字符"/>
    <w:link w:val="18"/>
    <w:qFormat/>
    <w:uiPriority w:val="99"/>
    <w:rPr>
      <w:kern w:val="2"/>
      <w:sz w:val="18"/>
      <w:szCs w:val="18"/>
    </w:rPr>
  </w:style>
  <w:style w:type="character" w:customStyle="1" w:styleId="44">
    <w:name w:val="页脚 字符"/>
    <w:link w:val="17"/>
    <w:qFormat/>
    <w:uiPriority w:val="99"/>
    <w:rPr>
      <w:rFonts w:ascii="宋体"/>
      <w:kern w:val="2"/>
      <w:sz w:val="18"/>
      <w:szCs w:val="18"/>
    </w:rPr>
  </w:style>
  <w:style w:type="character" w:customStyle="1" w:styleId="45">
    <w:name w:val="批注框文本 字符"/>
    <w:link w:val="16"/>
    <w:semiHidden/>
    <w:qFormat/>
    <w:uiPriority w:val="99"/>
    <w:rPr>
      <w:kern w:val="2"/>
      <w:sz w:val="18"/>
      <w:szCs w:val="18"/>
    </w:rPr>
  </w:style>
  <w:style w:type="paragraph" w:styleId="46">
    <w:name w:val="Quote"/>
    <w:basedOn w:val="1"/>
    <w:next w:val="1"/>
    <w:link w:val="47"/>
    <w:qFormat/>
    <w:uiPriority w:val="29"/>
    <w:rPr>
      <w:i/>
      <w:iCs/>
      <w:color w:val="000000"/>
    </w:rPr>
  </w:style>
  <w:style w:type="character" w:customStyle="1" w:styleId="47">
    <w:name w:val="引用 字符"/>
    <w:link w:val="46"/>
    <w:qFormat/>
    <w:uiPriority w:val="29"/>
    <w:rPr>
      <w:i/>
      <w:iCs/>
      <w:color w:val="000000"/>
      <w:kern w:val="2"/>
      <w:sz w:val="21"/>
      <w:szCs w:val="21"/>
    </w:rPr>
  </w:style>
  <w:style w:type="character" w:customStyle="1" w:styleId="48">
    <w:name w:val="标题 字符"/>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Times New Roman"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6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字符"/>
    <w:link w:val="13"/>
    <w:qFormat/>
    <w:uiPriority w:val="0"/>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不明显参考1"/>
    <w:qFormat/>
    <w:uiPriority w:val="31"/>
    <w:rPr>
      <w:smallCaps/>
      <w:color w:val="C0504D"/>
      <w:u w:val="single"/>
    </w:rPr>
  </w:style>
  <w:style w:type="paragraph" w:customStyle="1" w:styleId="96">
    <w:name w:val="标准文件_示例后续"/>
    <w:basedOn w:val="1"/>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字符"/>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semiHidden/>
    <w:qFormat/>
    <w:uiPriority w:val="0"/>
    <w:pPr>
      <w:adjustRightInd/>
      <w:spacing w:line="240" w:lineRule="auto"/>
      <w:jc w:val="left"/>
    </w:pPr>
    <w:rPr>
      <w:bCs/>
      <w:iCs/>
    </w:rPr>
  </w:style>
  <w:style w:type="paragraph" w:customStyle="1" w:styleId="143">
    <w:name w:val="目录 31"/>
    <w:basedOn w:val="1"/>
    <w:next w:val="1"/>
    <w:semiHidden/>
    <w:qFormat/>
    <w:uiPriority w:val="0"/>
    <w:pPr>
      <w:spacing w:line="240" w:lineRule="auto"/>
    </w:pPr>
    <w:rPr>
      <w:rFonts w:ascii="宋体" w:hAnsi="宋体"/>
      <w:iCs/>
    </w:rPr>
  </w:style>
  <w:style w:type="paragraph" w:customStyle="1" w:styleId="144">
    <w:name w:val="目录 41"/>
    <w:basedOn w:val="1"/>
    <w:next w:val="1"/>
    <w:semiHidden/>
    <w:qFormat/>
    <w:uiPriority w:val="0"/>
    <w:pPr>
      <w:adjustRightInd/>
      <w:spacing w:line="240" w:lineRule="auto"/>
      <w:jc w:val="left"/>
    </w:pPr>
  </w:style>
  <w:style w:type="paragraph" w:customStyle="1" w:styleId="145">
    <w:name w:val="目录 51"/>
    <w:basedOn w:val="1"/>
    <w:next w:val="1"/>
    <w:semiHidden/>
    <w:qFormat/>
    <w:uiPriority w:val="0"/>
    <w:pPr>
      <w:spacing w:line="240" w:lineRule="auto"/>
    </w:pPr>
    <w:rPr>
      <w:rFonts w:ascii="宋体" w:hAnsi="宋体"/>
    </w:rPr>
  </w:style>
  <w:style w:type="paragraph" w:customStyle="1" w:styleId="146">
    <w:name w:val="目录 61"/>
    <w:basedOn w:val="1"/>
    <w:next w:val="1"/>
    <w:semiHidden/>
    <w:qFormat/>
    <w:uiPriority w:val="0"/>
    <w:pPr>
      <w:adjustRightInd/>
      <w:spacing w:line="240" w:lineRule="auto"/>
      <w:jc w:val="left"/>
    </w:pPr>
  </w:style>
  <w:style w:type="paragraph" w:customStyle="1" w:styleId="147">
    <w:name w:val="目录 71"/>
    <w:basedOn w:val="146"/>
    <w:semiHidden/>
    <w:qFormat/>
    <w:uiPriority w:val="0"/>
    <w:pPr>
      <w:ind w:left="1260"/>
    </w:pPr>
  </w:style>
  <w:style w:type="paragraph" w:customStyle="1" w:styleId="148">
    <w:name w:val="目录 81"/>
    <w:basedOn w:val="147"/>
    <w:semiHidden/>
    <w:qFormat/>
    <w:uiPriority w:val="0"/>
    <w:pPr>
      <w:ind w:left="1470"/>
    </w:pPr>
  </w:style>
  <w:style w:type="paragraph" w:customStyle="1" w:styleId="149">
    <w:name w:val="目录 91"/>
    <w:basedOn w:val="148"/>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wrap="around"/>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wrap="around"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qFormat/>
    <w:uiPriority w:val="0"/>
    <w:pPr>
      <w:numPr>
        <w:ilvl w:val="0"/>
        <w:numId w:val="23"/>
      </w:numPr>
      <w:ind w:firstLine="0" w:firstLineChars="0"/>
    </w:pPr>
    <w:rPr>
      <w:rFonts w:cs="Arial"/>
      <w:szCs w:val="28"/>
    </w:rPr>
  </w:style>
  <w:style w:type="paragraph" w:customStyle="1" w:styleId="169">
    <w:name w:val="标准文件_小写罗马数字编号列项"/>
    <w:basedOn w:val="56"/>
    <w:qFormat/>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qFormat/>
    <w:uiPriority w:val="0"/>
    <w:rPr>
      <w:rFonts w:ascii="宋体" w:hAnsi="Times New Roman" w:eastAsia="宋体" w:cs="Times New Roman"/>
      <w:sz w:val="21"/>
      <w:lang w:val="en-US" w:eastAsia="zh-CN" w:bidi="ar-SA"/>
    </w:rPr>
  </w:style>
  <w:style w:type="paragraph" w:customStyle="1" w:styleId="172">
    <w:name w:val="标准文件_三级项"/>
    <w:basedOn w:val="1"/>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qFormat/>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Times New Roman"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styleId="186">
    <w:name w:val="Placeholder Text"/>
    <w:basedOn w:val="28"/>
    <w:semiHidden/>
    <w:qFormat/>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style>
  <w:style w:type="paragraph" w:customStyle="1" w:styleId="189">
    <w:name w:val="标准文件_一级项2"/>
    <w:basedOn w:val="56"/>
    <w:qFormat/>
    <w:uiPriority w:val="0"/>
    <w:pPr>
      <w:numPr>
        <w:ilvl w:val="0"/>
        <w:numId w:val="31"/>
      </w:numPr>
      <w:spacing w:line="300" w:lineRule="exact"/>
      <w:ind w:firstLineChars="0"/>
    </w:p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8"/>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qFormat/>
    <w:uiPriority w:val="0"/>
    <w:pPr>
      <w:framePr w:w="3997" w:h="471" w:hRule="exact" w:hSpace="0" w:vSpace="181" w:wrap="around" w:vAnchor="page" w:hAnchor="page" w:x="1419" w:y="14097"/>
    </w:pPr>
  </w:style>
  <w:style w:type="paragraph" w:customStyle="1" w:styleId="194">
    <w:name w:val="其他实施日期"/>
    <w:basedOn w:val="154"/>
    <w:qFormat/>
    <w:uiPriority w:val="0"/>
    <w:pPr>
      <w:framePr w:w="3997" w:h="471" w:hRule="exact" w:vSpace="181" w:wrap="around" w:vAnchor="page" w:hAnchor="page" w:x="7089" w:y="14097"/>
    </w:pPr>
  </w:style>
  <w:style w:type="paragraph" w:customStyle="1" w:styleId="195">
    <w:name w:val="标准文件_文件编号"/>
    <w:basedOn w:val="56"/>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framePr/>
      <w:spacing w:before="57"/>
    </w:pPr>
    <w:rPr>
      <w:sz w:val="21"/>
    </w:rPr>
  </w:style>
  <w:style w:type="paragraph" w:customStyle="1" w:styleId="197">
    <w:name w:val="标准文件_文件名称"/>
    <w:basedOn w:val="56"/>
    <w:next w:val="56"/>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8"/>
    <w:qFormat/>
    <w:uiPriority w:val="0"/>
    <w:rPr>
      <w:rFonts w:ascii="黑体" w:eastAsia="黑体"/>
      <w:spacing w:val="85"/>
      <w:w w:val="100"/>
      <w:position w:val="3"/>
      <w:sz w:val="28"/>
      <w:szCs w:val="28"/>
    </w:rPr>
  </w:style>
  <w:style w:type="paragraph" w:customStyle="1" w:styleId="230">
    <w:name w:val="段"/>
    <w:qFormat/>
    <w:uiPriority w:val="99"/>
    <w:pPr>
      <w:ind w:firstLine="200" w:firstLineChars="200"/>
      <w:jc w:val="both"/>
    </w:pPr>
    <w:rPr>
      <w:rFonts w:ascii="宋体" w:hAnsi="Times New Roman" w:eastAsia="宋体" w:cs="宋体"/>
      <w:sz w:val="21"/>
      <w:szCs w:val="21"/>
      <w:lang w:val="en-US" w:eastAsia="zh-CN" w:bidi="ar-SA"/>
    </w:rPr>
  </w:style>
  <w:style w:type="paragraph" w:customStyle="1" w:styleId="231">
    <w:name w:val="附录标识"/>
    <w:basedOn w:val="1"/>
    <w:next w:val="1"/>
    <w:qFormat/>
    <w:uiPriority w:val="99"/>
    <w:pPr>
      <w:keepNext/>
      <w:widowControl/>
      <w:shd w:val="clear" w:color="FFFFFF" w:fill="FFFFFF"/>
      <w:tabs>
        <w:tab w:val="left" w:pos="6405"/>
      </w:tabs>
      <w:adjustRightInd/>
      <w:spacing w:before="640" w:after="280" w:line="240" w:lineRule="auto"/>
      <w:jc w:val="center"/>
      <w:outlineLvl w:val="0"/>
    </w:pPr>
    <w:rPr>
      <w:rFonts w:ascii="黑体" w:hAnsi="Times New Roman" w:eastAsia="黑体" w:cs="黑体"/>
      <w:kern w:val="0"/>
    </w:rPr>
  </w:style>
  <w:style w:type="paragraph" w:customStyle="1" w:styleId="232">
    <w:name w:val="附录章标题"/>
    <w:next w:val="230"/>
    <w:qFormat/>
    <w:uiPriority w:val="99"/>
    <w:pPr>
      <w:wordWrap w:val="0"/>
      <w:overflowPunct w:val="0"/>
      <w:autoSpaceDE w:val="0"/>
      <w:spacing w:beforeLines="50" w:afterLines="50"/>
      <w:jc w:val="both"/>
      <w:textAlignment w:val="baseline"/>
      <w:outlineLvl w:val="1"/>
    </w:pPr>
    <w:rPr>
      <w:rFonts w:ascii="黑体" w:hAnsi="Times New Roman" w:eastAsia="黑体" w:cs="黑体"/>
      <w:kern w:val="21"/>
      <w:sz w:val="21"/>
      <w:szCs w:val="21"/>
      <w:lang w:val="en-US" w:eastAsia="zh-CN" w:bidi="ar-SA"/>
    </w:rPr>
  </w:style>
  <w:style w:type="paragraph" w:customStyle="1" w:styleId="233">
    <w:name w:val="附录一级条标题"/>
    <w:basedOn w:val="232"/>
    <w:next w:val="230"/>
    <w:qFormat/>
    <w:uiPriority w:val="99"/>
    <w:pPr>
      <w:tabs>
        <w:tab w:val="left" w:pos="1620"/>
      </w:tabs>
      <w:autoSpaceDN w:val="0"/>
      <w:ind w:left="1620" w:hanging="360"/>
      <w:outlineLvl w:val="2"/>
    </w:pPr>
  </w:style>
  <w:style w:type="paragraph" w:customStyle="1" w:styleId="234">
    <w:name w:val="附录二级条标题"/>
    <w:basedOn w:val="1"/>
    <w:next w:val="230"/>
    <w:qFormat/>
    <w:uiPriority w:val="99"/>
    <w:pPr>
      <w:widowControl/>
      <w:wordWrap w:val="0"/>
      <w:overflowPunct w:val="0"/>
      <w:autoSpaceDE w:val="0"/>
      <w:autoSpaceDN w:val="0"/>
      <w:adjustRightInd/>
      <w:spacing w:beforeLines="50" w:afterLines="50" w:line="240" w:lineRule="auto"/>
      <w:textAlignment w:val="baseline"/>
      <w:outlineLvl w:val="3"/>
    </w:pPr>
    <w:rPr>
      <w:rFonts w:ascii="黑体" w:hAnsi="Times New Roman" w:eastAsia="黑体" w:cs="黑体"/>
      <w:kern w:val="21"/>
    </w:rPr>
  </w:style>
  <w:style w:type="paragraph" w:customStyle="1" w:styleId="235">
    <w:name w:val="附录三级条标题"/>
    <w:basedOn w:val="234"/>
    <w:next w:val="230"/>
    <w:qFormat/>
    <w:uiPriority w:val="99"/>
    <w:pPr>
      <w:tabs>
        <w:tab w:val="left" w:pos="1620"/>
      </w:tabs>
      <w:ind w:left="1620" w:hanging="360"/>
      <w:outlineLvl w:val="4"/>
    </w:pPr>
  </w:style>
  <w:style w:type="paragraph" w:customStyle="1" w:styleId="236">
    <w:name w:val="附录四级条标题"/>
    <w:basedOn w:val="235"/>
    <w:next w:val="230"/>
    <w:qFormat/>
    <w:uiPriority w:val="99"/>
    <w:pPr>
      <w:outlineLvl w:val="5"/>
    </w:pPr>
  </w:style>
  <w:style w:type="paragraph" w:customStyle="1" w:styleId="237">
    <w:name w:val="附录五级条标题"/>
    <w:basedOn w:val="236"/>
    <w:next w:val="230"/>
    <w:qFormat/>
    <w:uiPriority w:val="99"/>
    <w:pPr>
      <w:outlineLvl w:val="6"/>
    </w:pPr>
  </w:style>
  <w:style w:type="paragraph" w:customStyle="1" w:styleId="238">
    <w:name w:val="标准标志TB"/>
    <w:basedOn w:val="1"/>
    <w:qFormat/>
    <w:uiPriority w:val="0"/>
    <w:pPr>
      <w:widowControl/>
      <w:shd w:val="solid" w:color="FFFFFF" w:fill="FFFFFF"/>
      <w:adjustRightInd/>
      <w:spacing w:line="0" w:lineRule="atLeast"/>
      <w:jc w:val="right"/>
    </w:pPr>
    <w:rPr>
      <w:rFonts w:ascii="Times New Roman" w:hAnsi="Times New Roman" w:eastAsia="Arial Unicode MS"/>
      <w:b/>
      <w:w w:val="130"/>
      <w:sz w:val="96"/>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glossaryDocument" Target="glossary/document.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631;&#20934;\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E64CB8E51FE84885A626214CC3AFD57D"/>
        <w:style w:val=""/>
        <w:category>
          <w:name w:val="常规"/>
          <w:gallery w:val="placeholder"/>
        </w:category>
        <w:types>
          <w:type w:val="bbPlcHdr"/>
        </w:types>
        <w:behaviors>
          <w:behavior w:val="content"/>
        </w:behaviors>
        <w:description w:val=""/>
        <w:guid w:val="{E12F3A78-6B9F-4611-95B1-2EAB2709B8E5}"/>
      </w:docPartPr>
      <w:docPartBody>
        <w:p>
          <w:pPr>
            <w:pStyle w:val="5"/>
          </w:pPr>
          <w:r>
            <w:rPr>
              <w:rStyle w:val="4"/>
              <w:rFonts w:hint="eastAsia"/>
            </w:rPr>
            <w:t>单击或点击此处输入文字。</w:t>
          </w:r>
        </w:p>
      </w:docPartBody>
    </w:docPart>
    <w:docPart>
      <w:docPartPr>
        <w:name w:val="CA8D6A8379D74F9881A185AEA98EB8C5"/>
        <w:style w:val=""/>
        <w:category>
          <w:name w:val="常规"/>
          <w:gallery w:val="placeholder"/>
        </w:category>
        <w:types>
          <w:type w:val="bbPlcHdr"/>
        </w:types>
        <w:behaviors>
          <w:behavior w:val="content"/>
        </w:behaviors>
        <w:description w:val=""/>
        <w:guid w:val="{963D5CAF-9C1D-4D78-8D66-56BB01773240}"/>
      </w:docPartPr>
      <w:docPartBody>
        <w:p>
          <w:pPr>
            <w:pStyle w:val="6"/>
          </w:pPr>
          <w:r>
            <w:rPr>
              <w:rStyle w:val="4"/>
              <w:rFonts w:hint="eastAsia"/>
            </w:rPr>
            <w:t>选择一项。</w:t>
          </w:r>
        </w:p>
      </w:docPartBody>
    </w:docPart>
    <w:docPart>
      <w:docPartPr>
        <w:name w:val="59073B8D338742CEAEF62251E0B6F22D"/>
        <w:style w:val=""/>
        <w:category>
          <w:name w:val="常规"/>
          <w:gallery w:val="placeholder"/>
        </w:category>
        <w:types>
          <w:type w:val="bbPlcHdr"/>
        </w:types>
        <w:behaviors>
          <w:behavior w:val="content"/>
        </w:behaviors>
        <w:description w:val=""/>
        <w:guid w:val="{95263097-52F3-4D67-B128-8B2CB0C6169C}"/>
      </w:docPartPr>
      <w:docPartBody>
        <w:p>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3CA"/>
    <w:rsid w:val="0039621D"/>
    <w:rsid w:val="00402012"/>
    <w:rsid w:val="00726DCA"/>
    <w:rsid w:val="00937751"/>
    <w:rsid w:val="00C62001"/>
    <w:rsid w:val="00F073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E64CB8E51FE84885A626214CC3AFD57D"/>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CA8D6A8379D74F9881A185AEA98EB8C5"/>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59073B8D338742CEAEF62251E0B6F22D"/>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E4E7592-A276-49DC-8774-BE97A35BBB6C}">
  <ds:schemaRefs/>
</ds:datastoreItem>
</file>

<file path=docProps/app.xml><?xml version="1.0" encoding="utf-8"?>
<Properties xmlns="http://schemas.openxmlformats.org/officeDocument/2006/extended-properties" xmlns:vt="http://schemas.openxmlformats.org/officeDocument/2006/docPropsVTypes">
  <Template>团体标准.dotx</Template>
  <Company>DoubleOX</Company>
  <Pages>7</Pages>
  <Words>701</Words>
  <Characters>3999</Characters>
  <Lines>33</Lines>
  <Paragraphs>9</Paragraphs>
  <TotalTime>13</TotalTime>
  <ScaleCrop>false</ScaleCrop>
  <LinksUpToDate>false</LinksUpToDate>
  <CharactersWithSpaces>4691</CharactersWithSpaces>
  <Application>WPS Office_11.8.2.11734_F1E327BC-269C-435d-A152-05C5408002CA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2026-06-01T07:58:00Z</dcterms:created>
  <dc:creator>亦昕</dc:creator>
  <cp:lastModifiedBy>Lenovo</cp:lastModifiedBy>
  <cp:lastPrinted>2021-02-02T08:22:00Z</cp:lastPrinted>
  <dcterms:modified xsi:type="dcterms:W3CDTF">2026-06-05T09:25:32Z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eyJoZGlkIjoiN2Q0NDIwM2YzOThkMjI4YmFhYjEwYjU4YmE3ZGFmZDkiLCJ1c2VySWQiOiI4Mjc4NzUxOTcifQ==</vt:lpwstr>
  </property>
  <property fmtid="{D5CDD505-2E9C-101B-9397-08002B2CF9AE}" pid="15" name="KSOProductBuildVer">
    <vt:lpwstr>2052-11.8.2.11734</vt:lpwstr>
  </property>
  <property fmtid="{D5CDD505-2E9C-101B-9397-08002B2CF9AE}" pid="16" name="ICV">
    <vt:lpwstr>028A36B31AE9474C9B322906E2D2130F_12</vt:lpwstr>
  </property>
</Properties>
</file>