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8F2A5E">
      <w:pPr>
        <w:widowControl/>
        <w:numPr>
          <w:ilvl w:val="0"/>
          <w:numId w:val="3"/>
        </w:numPr>
        <w:spacing w:line="360" w:lineRule="auto"/>
        <w:jc w:val="center"/>
        <w:outlineLvl w:val="1"/>
        <w:rPr>
          <w:rFonts w:ascii="Times New Roman" w:hAnsi="Times New Roman" w:eastAsia="黑体" w:cs="Times New Roman"/>
          <w:bCs/>
          <w:kern w:val="0"/>
          <w:sz w:val="28"/>
          <w:szCs w:val="28"/>
        </w:rPr>
      </w:pPr>
    </w:p>
    <w:p w14:paraId="2557896C">
      <w:pPr>
        <w:widowControl/>
        <w:numPr>
          <w:ilvl w:val="0"/>
          <w:numId w:val="3"/>
        </w:numPr>
        <w:spacing w:line="360" w:lineRule="auto"/>
        <w:jc w:val="center"/>
        <w:outlineLvl w:val="1"/>
        <w:rPr>
          <w:rFonts w:ascii="Times New Roman" w:hAnsi="Times New Roman" w:eastAsia="黑体" w:cs="Times New Roman"/>
          <w:bCs/>
          <w:kern w:val="0"/>
          <w:sz w:val="28"/>
          <w:szCs w:val="28"/>
        </w:rPr>
      </w:pPr>
    </w:p>
    <w:p w14:paraId="6B101C8D">
      <w:pPr>
        <w:widowControl/>
        <w:numPr>
          <w:ilvl w:val="0"/>
          <w:numId w:val="3"/>
        </w:numPr>
        <w:spacing w:line="360" w:lineRule="auto"/>
        <w:jc w:val="center"/>
        <w:outlineLvl w:val="1"/>
        <w:rPr>
          <w:rFonts w:ascii="Times New Roman" w:hAnsi="Times New Roman" w:eastAsia="黑体" w:cs="Times New Roman"/>
          <w:bCs/>
          <w:kern w:val="0"/>
          <w:sz w:val="28"/>
          <w:szCs w:val="28"/>
        </w:rPr>
      </w:pPr>
    </w:p>
    <w:p w14:paraId="4D62D3B8">
      <w:pPr>
        <w:jc w:val="center"/>
        <w:rPr>
          <w:rFonts w:hint="eastAsia" w:ascii="Times New Roman" w:hAnsi="Times New Roman" w:eastAsia="黑体" w:cs="Times New Roman"/>
          <w:sz w:val="44"/>
          <w:szCs w:val="44"/>
          <w:lang w:val="en-US" w:eastAsia="zh-CN"/>
        </w:rPr>
      </w:pPr>
      <w:r>
        <w:rPr>
          <w:rFonts w:hint="eastAsia" w:ascii="Times New Roman" w:hAnsi="Times New Roman" w:eastAsia="黑体" w:cs="Times New Roman"/>
          <w:sz w:val="44"/>
          <w:szCs w:val="44"/>
        </w:rPr>
        <w:t>《</w:t>
      </w:r>
      <w:r>
        <w:rPr>
          <w:rFonts w:hint="eastAsia" w:ascii="Times New Roman" w:hAnsi="Times New Roman" w:eastAsia="黑体" w:cs="Times New Roman"/>
          <w:sz w:val="44"/>
          <w:szCs w:val="44"/>
          <w:lang w:val="en-US" w:eastAsia="zh-CN"/>
        </w:rPr>
        <w:t>白菜类蔬菜  黄萎病室内抗性鉴定</w:t>
      </w:r>
    </w:p>
    <w:p w14:paraId="5CBD59CE">
      <w:pPr>
        <w:jc w:val="center"/>
        <w:rPr>
          <w:rFonts w:ascii="Times New Roman" w:hAnsi="Times New Roman" w:eastAsia="黑体" w:cs="Times New Roman"/>
          <w:sz w:val="44"/>
          <w:szCs w:val="44"/>
        </w:rPr>
      </w:pPr>
      <w:r>
        <w:rPr>
          <w:rFonts w:hint="eastAsia" w:ascii="Times New Roman" w:hAnsi="Times New Roman" w:eastAsia="黑体" w:cs="Times New Roman"/>
          <w:sz w:val="44"/>
          <w:szCs w:val="44"/>
          <w:lang w:val="en-US" w:eastAsia="zh-CN"/>
        </w:rPr>
        <w:t>技术规程</w:t>
      </w:r>
      <w:r>
        <w:rPr>
          <w:rFonts w:hint="eastAsia" w:ascii="Times New Roman" w:hAnsi="Times New Roman" w:eastAsia="黑体" w:cs="Times New Roman"/>
          <w:sz w:val="44"/>
          <w:szCs w:val="44"/>
        </w:rPr>
        <w:t>》</w:t>
      </w:r>
      <w:r>
        <w:rPr>
          <w:rFonts w:hint="eastAsia" w:ascii="Times New Roman" w:hAnsi="Times New Roman" w:eastAsia="黑体" w:cs="Times New Roman"/>
          <w:sz w:val="44"/>
          <w:szCs w:val="44"/>
          <w:lang w:eastAsia="zh-CN"/>
        </w:rPr>
        <w:t>团体标准</w:t>
      </w:r>
    </w:p>
    <w:p w14:paraId="5E41F1C7">
      <w:pPr>
        <w:jc w:val="center"/>
        <w:rPr>
          <w:rFonts w:ascii="Times New Roman" w:hAnsi="Times New Roman" w:eastAsia="黑体" w:cs="Times New Roman"/>
          <w:sz w:val="44"/>
          <w:szCs w:val="44"/>
        </w:rPr>
      </w:pPr>
      <w:r>
        <w:rPr>
          <w:rFonts w:hint="eastAsia" w:ascii="Times New Roman" w:hAnsi="Times New Roman" w:eastAsia="黑体" w:cs="Times New Roman"/>
          <w:sz w:val="44"/>
          <w:szCs w:val="44"/>
        </w:rPr>
        <w:t>编制说明</w:t>
      </w:r>
    </w:p>
    <w:p w14:paraId="6D3CF6A8">
      <w:pPr>
        <w:widowControl/>
        <w:numPr>
          <w:ilvl w:val="0"/>
          <w:numId w:val="3"/>
        </w:numPr>
        <w:spacing w:line="360" w:lineRule="auto"/>
        <w:outlineLvl w:val="1"/>
        <w:rPr>
          <w:rFonts w:ascii="Times New Roman" w:hAnsi="Times New Roman" w:eastAsia="方正小标宋简体" w:cs="Times New Roman"/>
          <w:sz w:val="36"/>
          <w:szCs w:val="36"/>
        </w:rPr>
      </w:pPr>
    </w:p>
    <w:p w14:paraId="2A52AE10">
      <w:pPr>
        <w:widowControl/>
        <w:numPr>
          <w:ilvl w:val="0"/>
          <w:numId w:val="0"/>
        </w:numPr>
        <w:spacing w:line="360" w:lineRule="auto"/>
        <w:ind w:leftChars="0"/>
        <w:outlineLvl w:val="1"/>
        <w:rPr>
          <w:rFonts w:ascii="Times New Roman" w:hAnsi="Times New Roman" w:eastAsia="黑体" w:cs="Times New Roman"/>
          <w:bCs/>
          <w:kern w:val="0"/>
          <w:sz w:val="28"/>
          <w:szCs w:val="28"/>
        </w:rPr>
      </w:pPr>
    </w:p>
    <w:p w14:paraId="2AF45397">
      <w:pPr>
        <w:widowControl/>
        <w:numPr>
          <w:ilvl w:val="0"/>
          <w:numId w:val="0"/>
        </w:numPr>
        <w:spacing w:line="360" w:lineRule="auto"/>
        <w:ind w:leftChars="0"/>
        <w:outlineLvl w:val="1"/>
        <w:rPr>
          <w:rFonts w:ascii="Times New Roman" w:hAnsi="Times New Roman" w:eastAsia="黑体" w:cs="Times New Roman"/>
          <w:bCs/>
          <w:kern w:val="0"/>
          <w:sz w:val="28"/>
          <w:szCs w:val="28"/>
        </w:rPr>
      </w:pPr>
    </w:p>
    <w:p w14:paraId="0292AE7D">
      <w:pPr>
        <w:widowControl/>
        <w:numPr>
          <w:ilvl w:val="0"/>
          <w:numId w:val="3"/>
        </w:numPr>
        <w:spacing w:line="360" w:lineRule="auto"/>
        <w:outlineLvl w:val="1"/>
        <w:rPr>
          <w:rFonts w:ascii="Times New Roman" w:hAnsi="Times New Roman" w:eastAsia="黑体" w:cs="Times New Roman"/>
          <w:bCs/>
          <w:kern w:val="0"/>
          <w:sz w:val="28"/>
          <w:szCs w:val="28"/>
        </w:rPr>
      </w:pPr>
    </w:p>
    <w:p w14:paraId="26975D1C">
      <w:pPr>
        <w:keepNext w:val="0"/>
        <w:keepLines w:val="0"/>
        <w:pageBreakBefore w:val="0"/>
        <w:widowControl w:val="0"/>
        <w:kinsoku/>
        <w:wordWrap w:val="0"/>
        <w:overflowPunct/>
        <w:topLinePunct w:val="0"/>
        <w:autoSpaceDE/>
        <w:autoSpaceDN/>
        <w:bidi w:val="0"/>
        <w:adjustRightInd/>
        <w:snapToGrid/>
        <w:ind w:left="2160" w:hanging="2160" w:hangingChars="600"/>
        <w:jc w:val="left"/>
        <w:textAlignment w:val="auto"/>
        <w:rPr>
          <w:rFonts w:hint="default" w:ascii="黑体" w:hAnsi="黑体" w:eastAsia="黑体" w:cs="Times New Roman"/>
          <w:b/>
          <w:sz w:val="36"/>
          <w:szCs w:val="36"/>
          <w:u w:val="thick"/>
          <w:lang w:val="en-US"/>
        </w:rPr>
      </w:pPr>
      <w:r>
        <w:rPr>
          <w:rFonts w:hint="eastAsia" w:ascii="黑体" w:hAnsi="黑体" w:eastAsia="黑体" w:cs="Times New Roman"/>
          <w:b/>
          <w:sz w:val="36"/>
          <w:szCs w:val="36"/>
        </w:rPr>
        <w:t>标 准 名 称：</w:t>
      </w:r>
      <w:r>
        <w:rPr>
          <w:rFonts w:hint="eastAsia" w:ascii="黑体" w:hAnsi="黑体" w:eastAsia="黑体" w:cs="Times New Roman"/>
          <w:b/>
          <w:bCs w:val="0"/>
          <w:sz w:val="36"/>
          <w:szCs w:val="36"/>
          <w:u w:val="single"/>
        </w:rPr>
        <w:t xml:space="preserve"> </w:t>
      </w:r>
      <w:r>
        <w:rPr>
          <w:rFonts w:hint="eastAsia" w:ascii="黑体" w:hAnsi="黑体" w:eastAsia="黑体" w:cs="Times New Roman"/>
          <w:b/>
          <w:bCs w:val="0"/>
          <w:sz w:val="36"/>
          <w:szCs w:val="36"/>
          <w:u w:val="single"/>
          <w:lang w:val="en-US" w:eastAsia="zh-CN"/>
        </w:rPr>
        <w:t>白菜类</w:t>
      </w:r>
      <w:r>
        <w:rPr>
          <w:rFonts w:hint="eastAsia" w:ascii="Times New Roman" w:hAnsi="Times New Roman" w:eastAsia="黑体" w:cs="Times New Roman"/>
          <w:b/>
          <w:sz w:val="36"/>
          <w:szCs w:val="36"/>
          <w:u w:val="single"/>
          <w:lang w:val="en-US" w:eastAsia="zh-CN"/>
        </w:rPr>
        <w:t xml:space="preserve">蔬菜  </w:t>
      </w:r>
      <w:r>
        <w:rPr>
          <w:rFonts w:hint="eastAsia" w:ascii="黑体" w:hAnsi="黑体" w:eastAsia="黑体" w:cs="Times New Roman"/>
          <w:b/>
          <w:bCs w:val="0"/>
          <w:sz w:val="36"/>
          <w:szCs w:val="36"/>
          <w:u w:val="single"/>
          <w:lang w:val="en-US" w:eastAsia="zh-CN"/>
        </w:rPr>
        <w:t>黄萎病室内抗鉴定</w:t>
      </w:r>
      <w:r>
        <w:rPr>
          <w:rFonts w:hint="eastAsia" w:ascii="黑体" w:hAnsi="黑体" w:eastAsia="黑体" w:cs="Times New Roman"/>
          <w:b/>
          <w:sz w:val="36"/>
          <w:szCs w:val="36"/>
          <w:u w:val="single"/>
          <w:lang w:val="en-US" w:eastAsia="zh-CN"/>
        </w:rPr>
        <w:tab/>
      </w:r>
      <w:r>
        <w:rPr>
          <w:rFonts w:hint="eastAsia" w:ascii="黑体" w:hAnsi="黑体" w:eastAsia="黑体" w:cs="Times New Roman"/>
          <w:b/>
          <w:sz w:val="36"/>
          <w:szCs w:val="36"/>
          <w:u w:val="single"/>
          <w:lang w:val="en-US" w:eastAsia="zh-CN"/>
        </w:rPr>
        <w:t xml:space="preserve">  </w:t>
      </w:r>
      <w:r>
        <w:rPr>
          <w:rFonts w:hint="default" w:ascii="Times New Roman" w:hAnsi="Times New Roman" w:eastAsia="黑体" w:cs="Times New Roman"/>
          <w:b/>
          <w:sz w:val="36"/>
          <w:szCs w:val="36"/>
          <w:u w:val="single"/>
          <w:lang w:val="en-US" w:eastAsia="zh-CN"/>
        </w:rPr>
        <w:t xml:space="preserve">     </w:t>
      </w:r>
      <w:r>
        <w:rPr>
          <w:rFonts w:hint="eastAsia" w:ascii="黑体" w:hAnsi="黑体" w:eastAsia="黑体" w:cs="Times New Roman"/>
          <w:b/>
          <w:sz w:val="36"/>
          <w:szCs w:val="36"/>
          <w:u w:val="single"/>
          <w:lang w:val="en-US" w:eastAsia="zh-CN"/>
        </w:rPr>
        <w:t xml:space="preserve">     技术规程              </w:t>
      </w:r>
    </w:p>
    <w:p w14:paraId="42DCC92F">
      <w:pPr>
        <w:rPr>
          <w:rFonts w:hint="eastAsia" w:ascii="黑体" w:hAnsi="黑体" w:eastAsia="黑体" w:cs="Times New Roman"/>
          <w:b/>
          <w:sz w:val="36"/>
          <w:szCs w:val="36"/>
          <w:u w:val="single"/>
        </w:rPr>
      </w:pPr>
      <w:r>
        <w:rPr>
          <w:rFonts w:hint="eastAsia" w:ascii="黑体" w:hAnsi="黑体" w:eastAsia="黑体" w:cs="Times New Roman"/>
          <w:b/>
          <w:sz w:val="36"/>
          <w:szCs w:val="36"/>
        </w:rPr>
        <w:t>项 目 编 号：</w:t>
      </w:r>
      <w:r>
        <w:rPr>
          <w:rFonts w:hint="eastAsia" w:ascii="Times New Roman" w:hAnsi="Times New Roman" w:eastAsia="黑体" w:cs="Times New Roman"/>
          <w:b/>
          <w:sz w:val="36"/>
          <w:szCs w:val="36"/>
          <w:u w:val="single"/>
          <w:lang w:val="en-US" w:eastAsia="zh-CN"/>
        </w:rPr>
        <w:t xml:space="preserve">  </w:t>
      </w:r>
      <w:r>
        <w:rPr>
          <w:rFonts w:hint="eastAsia" w:ascii="黑体" w:hAnsi="黑体" w:eastAsia="黑体" w:cs="Times New Roman"/>
          <w:b/>
          <w:sz w:val="36"/>
          <w:szCs w:val="36"/>
          <w:u w:val="single"/>
          <w:lang w:val="en-US" w:eastAsia="zh-CN"/>
        </w:rPr>
        <w:t xml:space="preserve">QHNX76-2025 QAS-JH35-2025      </w:t>
      </w:r>
    </w:p>
    <w:p w14:paraId="711C004A">
      <w:pPr>
        <w:rPr>
          <w:rFonts w:ascii="黑体" w:hAnsi="黑体" w:eastAsia="黑体" w:cs="Times New Roman"/>
          <w:b/>
          <w:sz w:val="36"/>
          <w:szCs w:val="36"/>
        </w:rPr>
      </w:pPr>
      <w:r>
        <w:rPr>
          <w:rFonts w:hint="eastAsia" w:ascii="黑体" w:hAnsi="黑体" w:eastAsia="黑体" w:cs="Times New Roman"/>
          <w:b/>
          <w:sz w:val="36"/>
          <w:szCs w:val="36"/>
        </w:rPr>
        <w:t>制、修订类型：</w:t>
      </w:r>
      <w:r>
        <w:rPr>
          <w:rFonts w:hint="eastAsia" w:ascii="黑体" w:hAnsi="黑体" w:eastAsia="黑体" w:cs="Times New Roman"/>
          <w:b/>
          <w:sz w:val="36"/>
          <w:szCs w:val="36"/>
          <w:u w:val="single"/>
        </w:rPr>
        <w:t xml:space="preserve">   </w:t>
      </w:r>
      <w:r>
        <w:rPr>
          <w:rFonts w:hint="eastAsia" w:ascii="Times New Roman" w:hAnsi="Times New Roman" w:eastAsia="黑体" w:cs="Times New Roman"/>
          <w:b/>
          <w:sz w:val="36"/>
          <w:szCs w:val="36"/>
          <w:u w:val="single"/>
          <w:lang w:val="en-US" w:eastAsia="zh-CN"/>
        </w:rPr>
        <w:t xml:space="preserve">  </w:t>
      </w:r>
      <w:r>
        <w:rPr>
          <w:rFonts w:hint="eastAsia" w:ascii="黑体" w:hAnsi="黑体" w:eastAsia="黑体" w:cs="Times New Roman"/>
          <w:b/>
          <w:sz w:val="36"/>
          <w:szCs w:val="36"/>
          <w:u w:val="single"/>
        </w:rPr>
        <w:t xml:space="preserve">    </w:t>
      </w:r>
      <w:r>
        <w:rPr>
          <w:rFonts w:hint="eastAsia" w:ascii="黑体" w:hAnsi="黑体" w:eastAsia="黑体" w:cs="Times New Roman"/>
          <w:b/>
          <w:sz w:val="36"/>
          <w:szCs w:val="36"/>
          <w:u w:val="single"/>
          <w:lang w:val="en-US" w:eastAsia="zh-CN"/>
        </w:rPr>
        <w:t xml:space="preserve">  </w:t>
      </w:r>
      <w:r>
        <w:rPr>
          <w:rFonts w:hint="eastAsia" w:ascii="黑体" w:hAnsi="黑体" w:eastAsia="黑体" w:cs="Times New Roman"/>
          <w:b/>
          <w:sz w:val="36"/>
          <w:szCs w:val="36"/>
          <w:u w:val="single"/>
        </w:rPr>
        <w:t>制</w:t>
      </w:r>
      <w:r>
        <w:rPr>
          <w:rFonts w:hint="eastAsia" w:ascii="黑体" w:hAnsi="黑体" w:eastAsia="黑体" w:cs="Times New Roman"/>
          <w:b/>
          <w:sz w:val="36"/>
          <w:szCs w:val="36"/>
          <w:u w:val="single"/>
          <w:lang w:eastAsia="zh-CN"/>
        </w:rPr>
        <w:t>定</w:t>
      </w:r>
      <w:r>
        <w:rPr>
          <w:rFonts w:hint="eastAsia" w:ascii="黑体" w:hAnsi="黑体" w:eastAsia="黑体" w:cs="Times New Roman"/>
          <w:b/>
          <w:sz w:val="36"/>
          <w:szCs w:val="36"/>
          <w:u w:val="single"/>
        </w:rPr>
        <w:t xml:space="preserve"> </w:t>
      </w:r>
      <w:r>
        <w:rPr>
          <w:rFonts w:hint="eastAsia" w:ascii="黑体" w:hAnsi="黑体" w:eastAsia="黑体" w:cs="Times New Roman"/>
          <w:b/>
          <w:sz w:val="36"/>
          <w:szCs w:val="36"/>
          <w:u w:val="single"/>
          <w:lang w:val="en-US" w:eastAsia="zh-CN"/>
        </w:rPr>
        <w:t xml:space="preserve">   </w:t>
      </w:r>
      <w:r>
        <w:rPr>
          <w:rFonts w:hint="eastAsia" w:ascii="黑体" w:hAnsi="黑体" w:eastAsia="黑体" w:cs="Times New Roman"/>
          <w:b/>
          <w:sz w:val="36"/>
          <w:szCs w:val="36"/>
          <w:u w:val="single"/>
        </w:rPr>
        <w:t xml:space="preserve">        </w:t>
      </w:r>
      <w:r>
        <w:rPr>
          <w:rFonts w:hint="eastAsia" w:ascii="黑体" w:hAnsi="黑体" w:eastAsia="黑体" w:cs="Times New Roman"/>
          <w:b/>
          <w:sz w:val="36"/>
          <w:szCs w:val="36"/>
          <w:u w:val="single"/>
          <w:lang w:val="en-US" w:eastAsia="zh-CN"/>
        </w:rPr>
        <w:t xml:space="preserve">  </w:t>
      </w:r>
      <w:r>
        <w:rPr>
          <w:rFonts w:hint="eastAsia" w:ascii="黑体" w:hAnsi="黑体" w:eastAsia="黑体" w:cs="Times New Roman"/>
          <w:b/>
          <w:sz w:val="36"/>
          <w:szCs w:val="36"/>
          <w:u w:val="single"/>
        </w:rPr>
        <w:t xml:space="preserve">  </w:t>
      </w:r>
      <w:r>
        <w:rPr>
          <w:rFonts w:hint="eastAsia" w:ascii="黑体" w:hAnsi="黑体" w:eastAsia="黑体" w:cs="Times New Roman"/>
          <w:b/>
          <w:sz w:val="36"/>
          <w:szCs w:val="36"/>
          <w:u w:val="single"/>
          <w:lang w:val="en-US" w:eastAsia="zh-CN"/>
        </w:rPr>
        <w:t xml:space="preserve"> </w:t>
      </w:r>
    </w:p>
    <w:p w14:paraId="15C51E6A">
      <w:pPr>
        <w:jc w:val="left"/>
        <w:rPr>
          <w:rFonts w:ascii="黑体" w:hAnsi="黑体" w:eastAsia="黑体" w:cs="Times New Roman"/>
          <w:b/>
          <w:sz w:val="36"/>
          <w:szCs w:val="36"/>
          <w:u w:val="single"/>
        </w:rPr>
      </w:pPr>
      <w:r>
        <w:rPr>
          <w:rFonts w:hint="eastAsia" w:ascii="黑体" w:hAnsi="黑体" w:eastAsia="黑体" w:cs="Times New Roman"/>
          <w:b/>
          <w:sz w:val="36"/>
          <w:szCs w:val="36"/>
        </w:rPr>
        <w:t>主要起草单位：</w:t>
      </w:r>
      <w:r>
        <w:rPr>
          <w:rFonts w:hint="eastAsia" w:ascii="黑体" w:hAnsi="黑体" w:eastAsia="黑体" w:cs="Times New Roman"/>
          <w:b/>
          <w:sz w:val="36"/>
          <w:szCs w:val="36"/>
          <w:u w:val="single"/>
        </w:rPr>
        <w:t xml:space="preserve"> </w:t>
      </w:r>
      <w:r>
        <w:rPr>
          <w:rFonts w:hint="eastAsia" w:ascii="Times New Roman" w:hAnsi="Times New Roman" w:eastAsia="黑体" w:cs="Times New Roman"/>
          <w:b/>
          <w:sz w:val="36"/>
          <w:szCs w:val="36"/>
          <w:u w:val="single"/>
          <w:lang w:val="en-US" w:eastAsia="zh-CN"/>
        </w:rPr>
        <w:t xml:space="preserve"> </w:t>
      </w:r>
      <w:r>
        <w:rPr>
          <w:rFonts w:hint="eastAsia" w:ascii="黑体" w:hAnsi="黑体" w:eastAsia="黑体" w:cs="Times New Roman"/>
          <w:b/>
          <w:sz w:val="36"/>
          <w:szCs w:val="36"/>
          <w:u w:val="single"/>
        </w:rPr>
        <w:t xml:space="preserve">  </w:t>
      </w:r>
      <w:r>
        <w:rPr>
          <w:rFonts w:hint="eastAsia" w:ascii="黑体" w:hAnsi="黑体" w:eastAsia="黑体" w:cs="Times New Roman"/>
          <w:b/>
          <w:sz w:val="36"/>
          <w:szCs w:val="36"/>
          <w:u w:val="single"/>
          <w:lang w:eastAsia="zh-CN"/>
        </w:rPr>
        <w:t>西宁市蔬菜技术服务中心</w:t>
      </w:r>
      <w:r>
        <w:rPr>
          <w:rFonts w:hint="eastAsia" w:ascii="黑体" w:hAnsi="黑体" w:eastAsia="黑体" w:cs="Times New Roman"/>
          <w:b/>
          <w:sz w:val="36"/>
          <w:szCs w:val="36"/>
          <w:u w:val="single"/>
        </w:rPr>
        <w:t xml:space="preserve"> </w:t>
      </w:r>
      <w:r>
        <w:rPr>
          <w:rFonts w:hint="eastAsia" w:ascii="黑体" w:hAnsi="黑体" w:eastAsia="黑体" w:cs="Times New Roman"/>
          <w:b/>
          <w:sz w:val="36"/>
          <w:szCs w:val="36"/>
          <w:u w:val="single"/>
          <w:lang w:val="en-US" w:eastAsia="zh-CN"/>
        </w:rPr>
        <w:t xml:space="preserve"> </w:t>
      </w:r>
      <w:r>
        <w:rPr>
          <w:rFonts w:hint="eastAsia" w:ascii="黑体" w:hAnsi="黑体" w:eastAsia="黑体" w:cs="Times New Roman"/>
          <w:b/>
          <w:sz w:val="36"/>
          <w:szCs w:val="36"/>
          <w:u w:val="single"/>
        </w:rPr>
        <w:t xml:space="preserve"> </w:t>
      </w:r>
      <w:r>
        <w:rPr>
          <w:rFonts w:hint="eastAsia" w:ascii="黑体" w:hAnsi="黑体" w:eastAsia="黑体" w:cs="Times New Roman"/>
          <w:b/>
          <w:sz w:val="36"/>
          <w:szCs w:val="36"/>
          <w:u w:val="single"/>
          <w:lang w:val="en-US" w:eastAsia="zh-CN"/>
        </w:rPr>
        <w:t xml:space="preserve">   </w:t>
      </w:r>
    </w:p>
    <w:p w14:paraId="3EE77D84">
      <w:pPr>
        <w:ind w:left="2160" w:hanging="2160" w:hangingChars="600"/>
        <w:jc w:val="both"/>
        <w:rPr>
          <w:rFonts w:hint="default" w:ascii="黑体" w:hAnsi="黑体" w:eastAsia="黑体" w:cs="Times New Roman"/>
          <w:b/>
          <w:sz w:val="36"/>
          <w:szCs w:val="36"/>
          <w:u w:val="single"/>
          <w:lang w:val="en-US"/>
        </w:rPr>
      </w:pPr>
      <w:r>
        <w:rPr>
          <w:rFonts w:hint="eastAsia" w:ascii="黑体" w:hAnsi="黑体" w:eastAsia="黑体" w:cs="Times New Roman"/>
          <w:b/>
          <w:sz w:val="36"/>
          <w:szCs w:val="36"/>
        </w:rPr>
        <w:t>协作单位：</w:t>
      </w:r>
      <w:r>
        <w:rPr>
          <w:rFonts w:hint="eastAsia" w:ascii="黑体" w:hAnsi="黑体" w:eastAsia="黑体" w:cs="Times New Roman"/>
          <w:b/>
          <w:sz w:val="36"/>
          <w:szCs w:val="36"/>
          <w:u w:val="none"/>
          <w:lang w:val="en-US" w:eastAsia="zh-CN"/>
        </w:rPr>
        <w:t xml:space="preserve"> </w:t>
      </w:r>
      <w:r>
        <w:rPr>
          <w:rFonts w:hint="eastAsia" w:ascii="Times New Roman" w:hAnsi="Times New Roman" w:eastAsia="黑体" w:cs="Times New Roman"/>
          <w:b/>
          <w:sz w:val="36"/>
          <w:szCs w:val="36"/>
          <w:u w:val="none"/>
          <w:lang w:val="en-US" w:eastAsia="zh-CN"/>
        </w:rPr>
        <w:t xml:space="preserve"> </w:t>
      </w:r>
      <w:r>
        <w:rPr>
          <w:rFonts w:hint="default" w:ascii="Times New Roman" w:hAnsi="Times New Roman" w:eastAsia="黑体" w:cs="Times New Roman"/>
          <w:b/>
          <w:sz w:val="36"/>
          <w:szCs w:val="44"/>
          <w:u w:val="thick"/>
          <w:lang w:val="en-US" w:eastAsia="zh-CN"/>
        </w:rPr>
        <w:t>宁波检验检疫科学技术研究院</w:t>
      </w:r>
      <w:r>
        <w:rPr>
          <w:rFonts w:hint="default" w:ascii="Times New Roman" w:hAnsi="Times New Roman" w:eastAsia="黑体" w:cs="Times New Roman"/>
          <w:b/>
          <w:bCs w:val="0"/>
          <w:sz w:val="36"/>
          <w:szCs w:val="44"/>
          <w:u w:val="thick"/>
          <w:lang w:val="en-US" w:eastAsia="zh-CN"/>
        </w:rPr>
        <w:t>、</w:t>
      </w:r>
      <w:r>
        <w:rPr>
          <w:rFonts w:hint="default" w:ascii="Times New Roman" w:hAnsi="Times New Roman" w:eastAsia="黑体" w:cs="Times New Roman"/>
          <w:b/>
          <w:sz w:val="36"/>
          <w:szCs w:val="44"/>
          <w:u w:val="thick"/>
          <w:lang w:val="en-US" w:eastAsia="zh-CN"/>
        </w:rPr>
        <w:t>西宁</w:t>
      </w:r>
      <w:r>
        <w:rPr>
          <w:rFonts w:hint="default" w:ascii="Times New Roman" w:hAnsi="Times New Roman" w:eastAsia="黑体" w:cs="Times New Roman"/>
          <w:b/>
          <w:sz w:val="36"/>
          <w:szCs w:val="36"/>
          <w:u w:val="thick"/>
          <w:lang w:val="en-US" w:eastAsia="zh-CN"/>
        </w:rPr>
        <w:t>植物园、</w:t>
      </w:r>
      <w:r>
        <w:rPr>
          <w:rFonts w:hint="default" w:ascii="Times New Roman" w:hAnsi="Times New Roman" w:eastAsia="黑体" w:cs="Times New Roman"/>
          <w:b/>
          <w:sz w:val="36"/>
          <w:szCs w:val="44"/>
          <w:u w:val="thick"/>
          <w:lang w:val="en-US" w:eastAsia="zh-CN"/>
        </w:rPr>
        <w:t>西宁市农业综合行政执法局、湟</w:t>
      </w:r>
      <w:r>
        <w:rPr>
          <w:rFonts w:hint="default" w:ascii="Times New Roman" w:hAnsi="Times New Roman" w:eastAsia="黑体" w:cs="Times New Roman"/>
          <w:b/>
          <w:sz w:val="36"/>
          <w:szCs w:val="36"/>
          <w:u w:val="thick"/>
          <w:lang w:val="en-US" w:eastAsia="zh-CN"/>
        </w:rPr>
        <w:t>中</w:t>
      </w:r>
      <w:r>
        <w:rPr>
          <w:rFonts w:hint="default" w:ascii="Times New Roman" w:hAnsi="Times New Roman" w:eastAsia="黑体" w:cs="Times New Roman"/>
          <w:b/>
          <w:sz w:val="36"/>
          <w:szCs w:val="44"/>
          <w:u w:val="thick"/>
          <w:lang w:val="en-US" w:eastAsia="zh-CN"/>
        </w:rPr>
        <w:t>区蔬菜技术服务中心、大通县蔬菜技</w:t>
      </w:r>
      <w:r>
        <w:rPr>
          <w:rFonts w:hint="eastAsia" w:ascii="黑体" w:hAnsi="黑体" w:eastAsia="黑体" w:cs="Times New Roman"/>
          <w:b/>
          <w:sz w:val="36"/>
          <w:szCs w:val="36"/>
          <w:u w:val="thick"/>
          <w:lang w:val="en-US" w:eastAsia="zh-CN"/>
        </w:rPr>
        <w:t xml:space="preserve">术服务中心、青海大学农林科学院    </w:t>
      </w:r>
    </w:p>
    <w:p w14:paraId="5FC5DCF3">
      <w:pPr>
        <w:rPr>
          <w:rFonts w:ascii="黑体" w:hAnsi="黑体" w:eastAsia="黑体" w:cs="Times New Roman"/>
          <w:b/>
          <w:sz w:val="36"/>
          <w:szCs w:val="36"/>
          <w:u w:val="single"/>
        </w:rPr>
      </w:pPr>
      <w:r>
        <w:rPr>
          <w:rFonts w:hint="eastAsia" w:ascii="黑体" w:hAnsi="黑体" w:eastAsia="黑体" w:cs="Times New Roman"/>
          <w:b/>
          <w:sz w:val="36"/>
          <w:szCs w:val="36"/>
        </w:rPr>
        <w:t>归 口 单 位：</w:t>
      </w:r>
      <w:r>
        <w:rPr>
          <w:rFonts w:hint="eastAsia" w:ascii="黑体" w:hAnsi="黑体" w:eastAsia="黑体" w:cs="Times New Roman"/>
          <w:b/>
          <w:sz w:val="36"/>
          <w:szCs w:val="36"/>
          <w:u w:val="single"/>
        </w:rPr>
        <w:t xml:space="preserve">         青海省</w:t>
      </w:r>
      <w:r>
        <w:rPr>
          <w:rFonts w:hint="eastAsia" w:ascii="Times New Roman" w:hAnsi="Times New Roman" w:eastAsia="黑体" w:cs="Times New Roman"/>
          <w:b/>
          <w:sz w:val="36"/>
          <w:szCs w:val="36"/>
          <w:u w:val="single"/>
          <w:lang w:val="en-US" w:eastAsia="zh-CN"/>
        </w:rPr>
        <w:t xml:space="preserve">农学会            </w:t>
      </w:r>
    </w:p>
    <w:p w14:paraId="190C5158">
      <w:pPr>
        <w:keepNext w:val="0"/>
        <w:keepLines w:val="0"/>
        <w:pageBreakBefore w:val="0"/>
        <w:widowControl/>
        <w:suppressLineNumbers w:val="0"/>
        <w:kinsoku/>
        <w:wordWrap/>
        <w:overflowPunct/>
        <w:topLinePunct w:val="0"/>
        <w:autoSpaceDE/>
        <w:autoSpaceDN/>
        <w:bidi w:val="0"/>
        <w:adjustRightInd/>
        <w:snapToGrid/>
        <w:jc w:val="both"/>
        <w:textAlignment w:val="auto"/>
        <w:rPr>
          <w:rFonts w:hint="eastAsia" w:ascii="黑体" w:hAnsi="黑体" w:eastAsia="黑体" w:cs="Times New Roman"/>
          <w:b/>
          <w:sz w:val="36"/>
          <w:szCs w:val="36"/>
          <w:u w:val="single"/>
        </w:rPr>
      </w:pPr>
      <w:r>
        <w:rPr>
          <w:rFonts w:hint="eastAsia" w:ascii="黑体" w:hAnsi="黑体" w:eastAsia="黑体" w:cs="Times New Roman"/>
          <w:b/>
          <w:sz w:val="36"/>
          <w:szCs w:val="36"/>
        </w:rPr>
        <w:t>起</w:t>
      </w:r>
      <w:r>
        <w:rPr>
          <w:rFonts w:hint="eastAsia" w:ascii="黑体" w:hAnsi="黑体" w:eastAsia="黑体" w:cs="Times New Roman"/>
          <w:b/>
          <w:sz w:val="36"/>
          <w:szCs w:val="36"/>
          <w:lang w:val="en-US" w:eastAsia="zh-CN"/>
        </w:rPr>
        <w:t xml:space="preserve"> </w:t>
      </w:r>
      <w:r>
        <w:rPr>
          <w:rFonts w:hint="eastAsia" w:ascii="黑体" w:hAnsi="黑体" w:eastAsia="黑体" w:cs="Times New Roman"/>
          <w:b/>
          <w:sz w:val="36"/>
          <w:szCs w:val="36"/>
        </w:rPr>
        <w:t>草</w:t>
      </w:r>
      <w:r>
        <w:rPr>
          <w:rFonts w:hint="eastAsia" w:ascii="黑体" w:hAnsi="黑体" w:eastAsia="黑体" w:cs="Times New Roman"/>
          <w:b/>
          <w:sz w:val="36"/>
          <w:szCs w:val="36"/>
          <w:lang w:val="en-US" w:eastAsia="zh-CN"/>
        </w:rPr>
        <w:t xml:space="preserve"> </w:t>
      </w:r>
      <w:r>
        <w:rPr>
          <w:rFonts w:hint="eastAsia" w:ascii="黑体" w:hAnsi="黑体" w:eastAsia="黑体" w:cs="Times New Roman"/>
          <w:b/>
          <w:sz w:val="36"/>
          <w:szCs w:val="36"/>
        </w:rPr>
        <w:t>时</w:t>
      </w:r>
      <w:r>
        <w:rPr>
          <w:rFonts w:hint="eastAsia" w:ascii="黑体" w:hAnsi="黑体" w:eastAsia="黑体" w:cs="Times New Roman"/>
          <w:b/>
          <w:sz w:val="36"/>
          <w:szCs w:val="36"/>
          <w:lang w:val="en-US" w:eastAsia="zh-CN"/>
        </w:rPr>
        <w:t xml:space="preserve"> </w:t>
      </w:r>
      <w:r>
        <w:rPr>
          <w:rFonts w:hint="eastAsia" w:ascii="黑体" w:hAnsi="黑体" w:eastAsia="黑体" w:cs="Times New Roman"/>
          <w:b/>
          <w:sz w:val="36"/>
          <w:szCs w:val="36"/>
        </w:rPr>
        <w:t>间：</w:t>
      </w:r>
      <w:r>
        <w:rPr>
          <w:rFonts w:hint="eastAsia" w:ascii="黑体" w:hAnsi="黑体" w:eastAsia="黑体" w:cs="Times New Roman"/>
          <w:b/>
          <w:sz w:val="36"/>
          <w:szCs w:val="36"/>
          <w:u w:val="single"/>
        </w:rPr>
        <w:t xml:space="preserve">     2025年0</w:t>
      </w:r>
      <w:r>
        <w:rPr>
          <w:rFonts w:hint="eastAsia" w:ascii="黑体" w:hAnsi="黑体" w:eastAsia="黑体" w:cs="Times New Roman"/>
          <w:b/>
          <w:sz w:val="36"/>
          <w:szCs w:val="36"/>
          <w:u w:val="single"/>
          <w:lang w:val="en-US" w:eastAsia="zh-CN"/>
        </w:rPr>
        <w:t>8</w:t>
      </w:r>
      <w:r>
        <w:rPr>
          <w:rFonts w:hint="eastAsia" w:ascii="黑体" w:hAnsi="黑体" w:eastAsia="黑体" w:cs="Times New Roman"/>
          <w:b/>
          <w:sz w:val="36"/>
          <w:szCs w:val="36"/>
          <w:u w:val="single"/>
        </w:rPr>
        <w:t>月-2026年</w:t>
      </w:r>
      <w:r>
        <w:rPr>
          <w:rFonts w:hint="eastAsia" w:ascii="黑体" w:hAnsi="黑体" w:eastAsia="黑体" w:cs="Times New Roman"/>
          <w:b/>
          <w:sz w:val="36"/>
          <w:szCs w:val="36"/>
          <w:u w:val="single"/>
          <w:lang w:val="en-US" w:eastAsia="zh-CN"/>
        </w:rPr>
        <w:t>08</w:t>
      </w:r>
      <w:r>
        <w:rPr>
          <w:rFonts w:hint="eastAsia" w:ascii="Times New Roman" w:hAnsi="Times New Roman" w:eastAsia="黑体" w:cs="Times New Roman"/>
          <w:b/>
          <w:sz w:val="36"/>
          <w:szCs w:val="36"/>
          <w:u w:val="single"/>
          <w:lang w:val="en-US" w:eastAsia="zh-CN"/>
        </w:rPr>
        <w:t xml:space="preserve">月    </w:t>
      </w:r>
    </w:p>
    <w:p w14:paraId="79F9CE67">
      <w:pPr>
        <w:keepNext w:val="0"/>
        <w:keepLines w:val="0"/>
        <w:widowControl/>
        <w:suppressLineNumbers w:val="0"/>
        <w:jc w:val="both"/>
        <w:rPr>
          <w:rFonts w:ascii="黑体" w:hAnsi="宋体" w:eastAsia="黑体" w:cs="黑体"/>
          <w:b/>
          <w:bCs/>
          <w:color w:val="000000"/>
          <w:kern w:val="0"/>
          <w:sz w:val="36"/>
          <w:szCs w:val="36"/>
          <w:lang w:val="en-US" w:eastAsia="zh-CN" w:bidi="ar"/>
        </w:rPr>
      </w:pPr>
    </w:p>
    <w:p w14:paraId="7EDE8EFF">
      <w:pPr>
        <w:keepNext w:val="0"/>
        <w:keepLines w:val="0"/>
        <w:widowControl/>
        <w:suppressLineNumbers w:val="0"/>
        <w:jc w:val="center"/>
        <w:rPr>
          <w:rFonts w:ascii="黑体" w:hAnsi="宋体" w:eastAsia="黑体" w:cs="黑体"/>
          <w:b/>
          <w:bCs/>
          <w:color w:val="000000"/>
          <w:kern w:val="0"/>
          <w:sz w:val="36"/>
          <w:szCs w:val="36"/>
          <w:lang w:val="en-US" w:eastAsia="zh-CN" w:bidi="ar"/>
        </w:rPr>
        <w:sectPr>
          <w:pgSz w:w="11906" w:h="16838"/>
          <w:pgMar w:top="1440" w:right="1797" w:bottom="1440" w:left="1797" w:header="851" w:footer="992" w:gutter="0"/>
          <w:pgBorders>
            <w:top w:val="none" w:sz="0" w:space="0"/>
            <w:left w:val="none" w:sz="0" w:space="0"/>
            <w:bottom w:val="none" w:sz="0" w:space="0"/>
            <w:right w:val="none" w:sz="0" w:space="0"/>
          </w:pgBorders>
          <w:cols w:space="425" w:num="1"/>
          <w:docGrid w:type="linesAndChars" w:linePitch="312" w:charSpace="0"/>
        </w:sectPr>
      </w:pPr>
    </w:p>
    <w:p w14:paraId="5722899B">
      <w:pPr>
        <w:keepNext w:val="0"/>
        <w:keepLines w:val="0"/>
        <w:widowControl/>
        <w:suppressLineNumbers w:val="0"/>
        <w:jc w:val="center"/>
        <w:rPr>
          <w:rFonts w:ascii="黑体" w:hAnsi="宋体" w:eastAsia="黑体" w:cs="黑体"/>
          <w:b/>
          <w:bCs/>
          <w:color w:val="000000"/>
          <w:kern w:val="0"/>
          <w:sz w:val="36"/>
          <w:szCs w:val="36"/>
          <w:lang w:val="en-US" w:eastAsia="zh-CN" w:bidi="ar"/>
        </w:rPr>
      </w:pPr>
    </w:p>
    <w:p w14:paraId="1C0ABFAE">
      <w:pPr>
        <w:keepNext w:val="0"/>
        <w:keepLines w:val="0"/>
        <w:widowControl/>
        <w:suppressLineNumbers w:val="0"/>
        <w:jc w:val="center"/>
        <w:rPr>
          <w:b/>
          <w:bCs/>
          <w:sz w:val="36"/>
          <w:szCs w:val="36"/>
        </w:rPr>
      </w:pPr>
      <w:r>
        <w:rPr>
          <w:rFonts w:ascii="黑体" w:hAnsi="宋体" w:eastAsia="黑体" w:cs="黑体"/>
          <w:b/>
          <w:bCs/>
          <w:color w:val="000000"/>
          <w:kern w:val="0"/>
          <w:sz w:val="36"/>
          <w:szCs w:val="36"/>
          <w:lang w:val="en-US" w:eastAsia="zh-CN" w:bidi="ar"/>
        </w:rPr>
        <w:t>《</w:t>
      </w:r>
      <w:r>
        <w:rPr>
          <w:rFonts w:hint="eastAsia" w:ascii="黑体" w:hAnsi="宋体" w:eastAsia="黑体" w:cs="黑体"/>
          <w:b/>
          <w:bCs/>
          <w:color w:val="000000"/>
          <w:kern w:val="0"/>
          <w:sz w:val="36"/>
          <w:szCs w:val="36"/>
          <w:lang w:val="en-US" w:eastAsia="zh-CN" w:bidi="ar"/>
        </w:rPr>
        <w:t>白菜类蔬菜  黄萎病室内抗性鉴定技术规程</w:t>
      </w:r>
      <w:r>
        <w:rPr>
          <w:rFonts w:ascii="黑体" w:hAnsi="宋体" w:eastAsia="黑体" w:cs="黑体"/>
          <w:b/>
          <w:bCs/>
          <w:color w:val="000000"/>
          <w:kern w:val="0"/>
          <w:sz w:val="36"/>
          <w:szCs w:val="36"/>
          <w:lang w:val="en-US" w:eastAsia="zh-CN" w:bidi="ar"/>
        </w:rPr>
        <w:t>》</w:t>
      </w:r>
    </w:p>
    <w:p w14:paraId="2027F3DD">
      <w:pPr>
        <w:keepNext w:val="0"/>
        <w:keepLines w:val="0"/>
        <w:widowControl/>
        <w:suppressLineNumbers w:val="0"/>
        <w:jc w:val="center"/>
        <w:rPr>
          <w:rFonts w:hint="eastAsia" w:ascii="黑体" w:hAnsi="宋体" w:eastAsia="黑体" w:cs="黑体"/>
          <w:b/>
          <w:bCs/>
          <w:color w:val="000000"/>
          <w:kern w:val="0"/>
          <w:sz w:val="36"/>
          <w:szCs w:val="36"/>
          <w:lang w:val="en-US" w:eastAsia="zh-CN" w:bidi="ar"/>
        </w:rPr>
      </w:pPr>
      <w:r>
        <w:rPr>
          <w:rFonts w:hint="eastAsia" w:ascii="黑体" w:hAnsi="宋体" w:eastAsia="黑体" w:cs="黑体"/>
          <w:b/>
          <w:bCs/>
          <w:color w:val="000000"/>
          <w:kern w:val="0"/>
          <w:sz w:val="36"/>
          <w:szCs w:val="36"/>
          <w:lang w:val="en-US" w:eastAsia="zh-CN" w:bidi="ar"/>
        </w:rPr>
        <w:t>团体标准编制说明</w:t>
      </w:r>
    </w:p>
    <w:p w14:paraId="788A5BBD">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ascii="黑体" w:hAnsi="宋体" w:eastAsia="黑体" w:cs="黑体"/>
          <w:color w:val="000000"/>
          <w:kern w:val="0"/>
          <w:sz w:val="31"/>
          <w:szCs w:val="31"/>
          <w:lang w:val="en-US" w:eastAsia="zh-CN" w:bidi="ar"/>
        </w:rPr>
        <w:t>一、工作简况</w:t>
      </w:r>
    </w:p>
    <w:p w14:paraId="48970EDD">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ascii="楷体" w:hAnsi="楷体" w:eastAsia="楷体" w:cs="楷体"/>
          <w:color w:val="000000"/>
          <w:kern w:val="0"/>
          <w:sz w:val="31"/>
          <w:szCs w:val="31"/>
          <w:lang w:val="en-US" w:eastAsia="zh-CN" w:bidi="ar"/>
        </w:rPr>
        <w:t>（一）任务来源</w:t>
      </w:r>
    </w:p>
    <w:p w14:paraId="3006BC21">
      <w:pPr>
        <w:keepNext w:val="0"/>
        <w:keepLines w:val="0"/>
        <w:pageBreakBefore w:val="0"/>
        <w:widowControl w:val="0"/>
        <w:kinsoku/>
        <w:wordWrap w:val="0"/>
        <w:overflowPunct/>
        <w:topLinePunct w:val="0"/>
        <w:autoSpaceDE/>
        <w:autoSpaceDN/>
        <w:bidi w:val="0"/>
        <w:adjustRightInd/>
        <w:snapToGrid/>
        <w:spacing w:line="360" w:lineRule="auto"/>
        <w:ind w:firstLine="640" w:firstLineChars="200"/>
        <w:textAlignment w:val="auto"/>
        <w:rPr>
          <w:rFonts w:hint="eastAsia" w:ascii="仿宋_GB2312" w:hAnsi="宋体" w:eastAsia="仿宋_GB2312" w:cs="Times New Roman"/>
          <w:kern w:val="0"/>
          <w:sz w:val="32"/>
          <w:szCs w:val="32"/>
        </w:rPr>
      </w:pPr>
      <w:r>
        <w:rPr>
          <w:rFonts w:hint="eastAsia" w:ascii="仿宋_GB2312" w:hAnsi="宋体" w:eastAsia="仿宋_GB2312" w:cs="Times New Roman"/>
          <w:kern w:val="0"/>
          <w:sz w:val="32"/>
          <w:szCs w:val="32"/>
          <w:lang w:val="en-US" w:eastAsia="zh-CN"/>
        </w:rPr>
        <w:t>2024年7月30日，由西宁市蔬菜技术服务中心提出青海省团体标准申请并批准立项。根据青海省农学会和青海省标准化协会联合下达的《关于下达2025年团体标准项目计划的通知》（青农字[2025] 16 号）和（青标协字[2025] 152 号），批准《白菜类蔬菜  黄萎病室内抗性鉴定技术规程》（</w:t>
      </w:r>
      <w:r>
        <w:rPr>
          <w:rFonts w:hint="eastAsia" w:ascii="仿宋_GB2312" w:hAnsi="宋体" w:eastAsia="仿宋_GB2312" w:cs="Times New Roman"/>
          <w:kern w:val="0"/>
          <w:sz w:val="32"/>
          <w:szCs w:val="32"/>
          <w:highlight w:val="none"/>
          <w:lang w:val="en-US" w:eastAsia="zh-CN"/>
        </w:rPr>
        <w:t>QHNX76-2025 QAS-JH35-2025）</w:t>
      </w:r>
      <w:r>
        <w:rPr>
          <w:rFonts w:hint="eastAsia" w:ascii="仿宋_GB2312" w:hAnsi="宋体" w:eastAsia="仿宋_GB2312" w:cs="Times New Roman"/>
          <w:kern w:val="0"/>
          <w:sz w:val="32"/>
          <w:szCs w:val="32"/>
          <w:lang w:val="en-US" w:eastAsia="zh-CN"/>
        </w:rPr>
        <w:t>团体标准的制定。</w:t>
      </w:r>
    </w:p>
    <w:p w14:paraId="62E4BFD2">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hint="eastAsia" w:ascii="楷体" w:hAnsi="楷体" w:eastAsia="楷体" w:cs="楷体"/>
          <w:color w:val="000000"/>
          <w:kern w:val="0"/>
          <w:sz w:val="31"/>
          <w:szCs w:val="31"/>
          <w:lang w:val="en-US" w:eastAsia="zh-CN" w:bidi="ar"/>
        </w:rPr>
        <w:t>（二）起草单位、协作单位</w:t>
      </w:r>
    </w:p>
    <w:p w14:paraId="51CC8623">
      <w:pPr>
        <w:spacing w:line="360" w:lineRule="auto"/>
        <w:ind w:firstLine="640" w:firstLineChars="200"/>
        <w:rPr>
          <w:rFonts w:hint="eastAsia" w:ascii="仿宋_GB2312" w:hAnsi="宋体" w:eastAsia="仿宋_GB2312" w:cs="Times New Roman"/>
          <w:kern w:val="0"/>
          <w:sz w:val="32"/>
          <w:szCs w:val="32"/>
        </w:rPr>
      </w:pPr>
      <w:r>
        <w:rPr>
          <w:rFonts w:hint="eastAsia" w:ascii="仿宋_GB2312" w:hAnsi="宋体" w:eastAsia="仿宋_GB2312" w:cs="Times New Roman"/>
          <w:kern w:val="0"/>
          <w:sz w:val="32"/>
          <w:szCs w:val="32"/>
          <w:lang w:val="en-US" w:eastAsia="zh-CN"/>
        </w:rPr>
        <w:t>起草单位：西宁市蔬菜技术服务中心</w:t>
      </w:r>
    </w:p>
    <w:p w14:paraId="4169A4AD">
      <w:pPr>
        <w:spacing w:line="360" w:lineRule="auto"/>
        <w:ind w:firstLine="640" w:firstLineChars="200"/>
        <w:rPr>
          <w:rFonts w:hint="default" w:ascii="仿宋_GB2312" w:hAnsi="宋体" w:eastAsia="仿宋_GB2312" w:cs="Times New Roman"/>
          <w:kern w:val="0"/>
          <w:sz w:val="32"/>
          <w:szCs w:val="32"/>
          <w:lang w:val="en-US"/>
        </w:rPr>
      </w:pPr>
      <w:r>
        <w:rPr>
          <w:rFonts w:hint="eastAsia" w:ascii="仿宋_GB2312" w:hAnsi="宋体" w:eastAsia="仿宋_GB2312" w:cs="Times New Roman"/>
          <w:kern w:val="0"/>
          <w:sz w:val="32"/>
          <w:szCs w:val="32"/>
          <w:lang w:val="en-US" w:eastAsia="zh-CN"/>
        </w:rPr>
        <w:t>协作单位：宁波检验检疫科学技术研究院、西宁植物园西宁市农业综合行政执法局、湟中区蔬菜技术服务中心、大通县蔬菜技术服务中心、青海大学农林科学院</w:t>
      </w:r>
    </w:p>
    <w:p w14:paraId="3AD78A43">
      <w:pPr>
        <w:keepNext w:val="0"/>
        <w:keepLines w:val="0"/>
        <w:pageBreakBefore w:val="0"/>
        <w:widowControl/>
        <w:numPr>
          <w:ilvl w:val="0"/>
          <w:numId w:val="4"/>
        </w:numPr>
        <w:suppressLineNumbers w:val="0"/>
        <w:kinsoku/>
        <w:wordWrap/>
        <w:overflowPunct/>
        <w:topLinePunct w:val="0"/>
        <w:autoSpaceDE/>
        <w:autoSpaceDN/>
        <w:bidi w:val="0"/>
        <w:adjustRightInd/>
        <w:snapToGrid/>
        <w:ind w:firstLine="620" w:firstLineChars="200"/>
        <w:jc w:val="left"/>
        <w:textAlignment w:val="auto"/>
        <w:rPr>
          <w:rFonts w:hint="eastAsia" w:ascii="楷体" w:hAnsi="楷体" w:eastAsia="楷体" w:cs="楷体"/>
          <w:color w:val="000000"/>
          <w:kern w:val="0"/>
          <w:sz w:val="31"/>
          <w:szCs w:val="31"/>
          <w:lang w:val="en-US" w:eastAsia="zh-CN" w:bidi="ar"/>
        </w:rPr>
      </w:pPr>
      <w:r>
        <w:rPr>
          <w:rFonts w:hint="eastAsia" w:ascii="楷体" w:hAnsi="楷体" w:eastAsia="楷体" w:cs="楷体"/>
          <w:color w:val="000000"/>
          <w:kern w:val="0"/>
          <w:sz w:val="31"/>
          <w:szCs w:val="31"/>
          <w:lang w:val="en-US" w:eastAsia="zh-CN" w:bidi="ar"/>
        </w:rPr>
        <w:t>主要起草人</w:t>
      </w:r>
    </w:p>
    <w:tbl>
      <w:tblPr>
        <w:tblStyle w:val="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41"/>
        <w:gridCol w:w="798"/>
        <w:gridCol w:w="1617"/>
        <w:gridCol w:w="2265"/>
        <w:gridCol w:w="2704"/>
      </w:tblGrid>
      <w:tr w14:paraId="0EBF9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38"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05D142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姓名</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44F578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性别</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55B304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职务/职称</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408B9D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工作单位</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095BCF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任务分工</w:t>
            </w:r>
          </w:p>
        </w:tc>
      </w:tr>
      <w:tr w14:paraId="3083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6D3A1F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张晓梅</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421827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女</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4D83E2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高级农艺师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34FDEC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西宁市蔬菜技术服务中心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115B93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标准整体框架设计、统筹标准起草全流程</w:t>
            </w:r>
          </w:p>
        </w:tc>
      </w:tr>
      <w:tr w14:paraId="2084C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69DB8A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段维军</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077A29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男</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0EA765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研究员</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1D4937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宁波检验检疫科学技术研究院</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2DB3B1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试剂与培养基技术参数制定、病原菌分离纯化技术指导</w:t>
            </w:r>
          </w:p>
        </w:tc>
      </w:tr>
      <w:tr w14:paraId="47181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4F8ABA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孔小平</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3B0A0C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女</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5615F6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研究员</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2FC000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西宁植物园</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522B6C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接种鉴定部分撰写</w:t>
            </w:r>
          </w:p>
        </w:tc>
      </w:tr>
      <w:tr w14:paraId="153D3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656EED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冯玉珠</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0848C8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男</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253D8B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高级农艺师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526E3A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西宁市蔬菜技术服务中心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5A70FA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标准核心技术条款编写</w:t>
            </w:r>
          </w:p>
        </w:tc>
      </w:tr>
      <w:tr w14:paraId="0451F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075A73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魏廷珍</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59E7DC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女</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6194FA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高级农艺师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7F3BC5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西宁市蔬菜技术服务中心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358BBE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仪器设备参数核定、附录A内容编制</w:t>
            </w:r>
          </w:p>
        </w:tc>
      </w:tr>
      <w:tr w14:paraId="0C576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3E1CD7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陈利文</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4A9541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男</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16920A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助理农艺师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7E6AEB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西宁市蔬菜技术服务中心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66A21C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病原菌接种体制备技术、试验操作流程规范</w:t>
            </w:r>
          </w:p>
        </w:tc>
      </w:tr>
      <w:tr w14:paraId="6A1FA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70E987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禹涛</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1E072D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男</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33E161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6864AD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西宁市蔬菜技术服务中心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711835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病情调查与抗性评价部分撰写</w:t>
            </w:r>
          </w:p>
        </w:tc>
      </w:tr>
      <w:tr w14:paraId="701E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337702F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周红伟</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746334A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女</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7F92DF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高级农艺师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00AFCD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西宁市蔬菜技术服务中心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7DC1DD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接种鉴定环节撰写</w:t>
            </w:r>
          </w:p>
        </w:tc>
      </w:tr>
      <w:tr w14:paraId="14BA5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5CC396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严湘萍</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42D78C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女</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6282D7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高级农艺师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57D3A9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西宁市蔬菜技术服务中心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6DF395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编制说明试验部分总体管理与实施</w:t>
            </w:r>
          </w:p>
        </w:tc>
      </w:tr>
      <w:tr w14:paraId="2170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248283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张海霞</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526A4D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女</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2EF5DA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2C1AFC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西宁市农业综合行政执法局</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19A662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规范性引用文件梳理、术语和定义校核</w:t>
            </w:r>
          </w:p>
        </w:tc>
      </w:tr>
      <w:tr w14:paraId="3DDFF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2F1057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张琨</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4F8F2B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男</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3F3A3A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高级农艺师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7BBB1B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西宁市蔬菜技术服务中心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668776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标准内容初审、技术条款合理性验证</w:t>
            </w:r>
          </w:p>
        </w:tc>
      </w:tr>
      <w:tr w14:paraId="42AE2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7BCF44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梅燕</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73F56F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女</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5B8FA3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3BAFA0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西宁市蔬菜技术服务中心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3D827A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育苗与接种操作技术撰写</w:t>
            </w:r>
          </w:p>
        </w:tc>
      </w:tr>
      <w:tr w14:paraId="07834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71D7A765">
            <w:pPr>
              <w:keepNext w:val="0"/>
              <w:keepLines w:val="0"/>
              <w:suppressLineNumbers w:val="0"/>
              <w:spacing w:before="0" w:beforeAutospacing="0" w:after="0" w:afterAutospacing="0" w:line="400" w:lineRule="exact"/>
              <w:ind w:left="0" w:right="0"/>
              <w:jc w:val="center"/>
              <w:rPr>
                <w:rFonts w:hint="eastAsia" w:ascii="仿宋_GB2312" w:hAnsi="宋体" w:eastAsia="仿宋_GB2312" w:cs="Times New Roman"/>
                <w:kern w:val="0"/>
                <w:sz w:val="28"/>
                <w:szCs w:val="28"/>
                <w:lang w:val="en-US" w:eastAsia="zh-CN"/>
              </w:rPr>
            </w:pPr>
            <w:r>
              <w:rPr>
                <w:rFonts w:hint="eastAsia" w:ascii="Times New Roman" w:hAnsi="Times New Roman" w:eastAsia="仿宋_GB2312" w:cs="Times New Roman"/>
                <w:kern w:val="0"/>
                <w:sz w:val="24"/>
                <w:szCs w:val="24"/>
              </w:rPr>
              <w:t>徐丽萍</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49BEF8F3">
            <w:pPr>
              <w:keepNext w:val="0"/>
              <w:keepLines w:val="0"/>
              <w:suppressLineNumbers w:val="0"/>
              <w:spacing w:before="0" w:beforeAutospacing="0" w:after="0" w:afterAutospacing="0" w:line="400" w:lineRule="exact"/>
              <w:ind w:left="0" w:right="0"/>
              <w:jc w:val="center"/>
              <w:rPr>
                <w:rFonts w:hint="eastAsia" w:ascii="仿宋_GB2312" w:hAnsi="宋体" w:eastAsia="仿宋_GB2312" w:cs="Times New Roman"/>
                <w:kern w:val="0"/>
                <w:sz w:val="28"/>
                <w:szCs w:val="28"/>
                <w:lang w:val="en-US" w:eastAsia="zh-CN"/>
              </w:rPr>
            </w:pPr>
            <w:r>
              <w:rPr>
                <w:rFonts w:hint="eastAsia" w:ascii="Times New Roman" w:hAnsi="Times New Roman" w:eastAsia="仿宋_GB2312" w:cs="Times New Roman"/>
                <w:kern w:val="0"/>
                <w:sz w:val="24"/>
                <w:szCs w:val="24"/>
                <w:lang w:eastAsia="zh-CN"/>
              </w:rPr>
              <w:t>女</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6DDBD1A9">
            <w:pPr>
              <w:keepNext w:val="0"/>
              <w:keepLines w:val="0"/>
              <w:suppressLineNumbers w:val="0"/>
              <w:spacing w:before="0" w:beforeAutospacing="0" w:after="0" w:afterAutospacing="0" w:line="400" w:lineRule="exact"/>
              <w:ind w:left="0" w:right="0"/>
              <w:jc w:val="center"/>
              <w:rPr>
                <w:rFonts w:hint="eastAsia" w:ascii="仿宋_GB2312" w:hAnsi="宋体" w:eastAsia="仿宋_GB2312" w:cs="Times New Roman"/>
                <w:kern w:val="0"/>
                <w:sz w:val="28"/>
                <w:szCs w:val="28"/>
                <w:lang w:val="en-US" w:eastAsia="zh-CN"/>
              </w:rPr>
            </w:pPr>
            <w:r>
              <w:rPr>
                <w:rFonts w:hint="eastAsia" w:ascii="Times New Roman" w:hAnsi="Times New Roman" w:eastAsia="仿宋_GB2312" w:cs="Times New Roman"/>
                <w:kern w:val="0"/>
                <w:sz w:val="24"/>
                <w:szCs w:val="24"/>
                <w:lang w:eastAsia="zh-CN"/>
              </w:rPr>
              <w:t>研究员</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4EB6BF16">
            <w:pPr>
              <w:keepNext w:val="0"/>
              <w:keepLines w:val="0"/>
              <w:suppressLineNumbers w:val="0"/>
              <w:spacing w:before="0" w:beforeAutospacing="0" w:after="0" w:afterAutospacing="0" w:line="400" w:lineRule="exact"/>
              <w:ind w:left="0" w:right="0"/>
              <w:jc w:val="center"/>
              <w:rPr>
                <w:rFonts w:hint="eastAsia" w:ascii="仿宋_GB2312" w:hAnsi="宋体" w:eastAsia="仿宋_GB2312" w:cs="Times New Roman"/>
                <w:kern w:val="0"/>
                <w:sz w:val="28"/>
                <w:szCs w:val="28"/>
                <w:lang w:val="en-US" w:eastAsia="zh-CN"/>
              </w:rPr>
            </w:pPr>
            <w:r>
              <w:rPr>
                <w:rFonts w:hint="eastAsia" w:ascii="Times New Roman" w:hAnsi="Times New Roman" w:eastAsia="仿宋_GB2312" w:cs="Times New Roman"/>
                <w:kern w:val="0"/>
                <w:sz w:val="24"/>
                <w:szCs w:val="24"/>
              </w:rPr>
              <w:t>西宁市蔬菜技术服务中心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4511C654">
            <w:pPr>
              <w:keepNext w:val="0"/>
              <w:keepLines w:val="0"/>
              <w:suppressLineNumbers w:val="0"/>
              <w:spacing w:before="0" w:beforeAutospacing="0" w:after="0" w:afterAutospacing="0" w:line="400" w:lineRule="exact"/>
              <w:ind w:left="0" w:right="0"/>
              <w:jc w:val="center"/>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标准内容初步修改</w:t>
            </w:r>
          </w:p>
        </w:tc>
      </w:tr>
      <w:tr w14:paraId="3887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40A5AA90">
            <w:pPr>
              <w:keepNext w:val="0"/>
              <w:keepLines w:val="0"/>
              <w:suppressLineNumbers w:val="0"/>
              <w:spacing w:before="0" w:beforeAutospacing="0" w:after="0" w:afterAutospacing="0" w:line="400" w:lineRule="exact"/>
              <w:ind w:left="0" w:right="0"/>
              <w:jc w:val="center"/>
              <w:rPr>
                <w:rFonts w:hint="eastAsia" w:ascii="仿宋_GB2312" w:hAnsi="宋体" w:eastAsia="仿宋_GB2312" w:cs="Times New Roman"/>
                <w:kern w:val="0"/>
                <w:sz w:val="28"/>
                <w:szCs w:val="28"/>
                <w:lang w:val="en-US" w:eastAsia="zh-CN"/>
              </w:rPr>
            </w:pPr>
            <w:r>
              <w:rPr>
                <w:rFonts w:hint="eastAsia" w:ascii="Times New Roman" w:hAnsi="Times New Roman" w:eastAsia="仿宋_GB2312" w:cs="Times New Roman"/>
                <w:kern w:val="0"/>
                <w:sz w:val="24"/>
                <w:szCs w:val="24"/>
                <w:lang w:val="en-US" w:eastAsia="zh-CN"/>
              </w:rPr>
              <w:t>王小青</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07AC163B">
            <w:pPr>
              <w:keepNext w:val="0"/>
              <w:keepLines w:val="0"/>
              <w:suppressLineNumbers w:val="0"/>
              <w:spacing w:before="0" w:beforeAutospacing="0" w:after="0" w:afterAutospacing="0" w:line="400" w:lineRule="exact"/>
              <w:ind w:left="0" w:right="0"/>
              <w:jc w:val="center"/>
              <w:rPr>
                <w:rFonts w:hint="eastAsia" w:ascii="仿宋_GB2312" w:hAnsi="宋体" w:eastAsia="仿宋_GB2312" w:cs="Times New Roman"/>
                <w:kern w:val="0"/>
                <w:sz w:val="28"/>
                <w:szCs w:val="28"/>
                <w:lang w:val="en-US" w:eastAsia="zh-CN"/>
              </w:rPr>
            </w:pPr>
            <w:r>
              <w:rPr>
                <w:rFonts w:hint="eastAsia" w:ascii="Times New Roman" w:hAnsi="Times New Roman" w:eastAsia="仿宋_GB2312" w:cs="Times New Roman"/>
                <w:kern w:val="0"/>
                <w:sz w:val="24"/>
                <w:szCs w:val="24"/>
                <w:lang w:val="en-US" w:eastAsia="zh-CN"/>
              </w:rPr>
              <w:t>女</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2554580D">
            <w:pPr>
              <w:keepNext w:val="0"/>
              <w:keepLines w:val="0"/>
              <w:suppressLineNumbers w:val="0"/>
              <w:spacing w:before="0" w:beforeAutospacing="0" w:after="0" w:afterAutospacing="0" w:line="400" w:lineRule="exact"/>
              <w:ind w:left="0" w:right="0"/>
              <w:jc w:val="center"/>
              <w:rPr>
                <w:rFonts w:hint="eastAsia" w:ascii="仿宋_GB2312" w:hAnsi="宋体" w:eastAsia="仿宋_GB2312" w:cs="Times New Roman"/>
                <w:kern w:val="0"/>
                <w:sz w:val="28"/>
                <w:szCs w:val="28"/>
                <w:lang w:val="en-US" w:eastAsia="zh-CN"/>
              </w:rPr>
            </w:pPr>
            <w:r>
              <w:rPr>
                <w:rFonts w:hint="eastAsia" w:ascii="Times New Roman" w:hAnsi="Times New Roman" w:eastAsia="仿宋_GB2312" w:cs="Times New Roman"/>
                <w:kern w:val="0"/>
                <w:sz w:val="24"/>
                <w:szCs w:val="24"/>
                <w:lang w:val="en-US" w:eastAsia="zh-CN"/>
              </w:rPr>
              <w:t>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0490A167">
            <w:pPr>
              <w:keepNext w:val="0"/>
              <w:keepLines w:val="0"/>
              <w:suppressLineNumbers w:val="0"/>
              <w:spacing w:before="0" w:beforeAutospacing="0" w:after="0" w:afterAutospacing="0" w:line="400" w:lineRule="exact"/>
              <w:ind w:left="0" w:right="0"/>
              <w:jc w:val="center"/>
              <w:rPr>
                <w:rFonts w:hint="eastAsia" w:ascii="仿宋_GB2312" w:hAnsi="宋体" w:eastAsia="仿宋_GB2312" w:cs="Times New Roman"/>
                <w:kern w:val="0"/>
                <w:sz w:val="28"/>
                <w:szCs w:val="28"/>
                <w:lang w:val="en-US" w:eastAsia="zh-CN"/>
              </w:rPr>
            </w:pPr>
            <w:r>
              <w:rPr>
                <w:rFonts w:hint="eastAsia" w:ascii="Times New Roman" w:hAnsi="Times New Roman" w:eastAsia="仿宋_GB2312" w:cs="Times New Roman"/>
                <w:kern w:val="0"/>
                <w:sz w:val="24"/>
                <w:szCs w:val="24"/>
                <w:lang w:val="en-US" w:eastAsia="zh-CN"/>
              </w:rPr>
              <w:t>西宁市蔬菜技术服务中心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0CA25D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编制说明工作简况编写</w:t>
            </w:r>
          </w:p>
        </w:tc>
      </w:tr>
      <w:tr w14:paraId="2E80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30197E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周倩怡</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53935B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女</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228247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助理农艺师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5F33B7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西宁市蔬菜技术服务中心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2CBF64D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编制说明预期的经社会效益等内容的编写</w:t>
            </w:r>
          </w:p>
        </w:tc>
      </w:tr>
      <w:tr w14:paraId="479BF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4717CD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王佳莹</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79E3D9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女</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7DB489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助理农艺师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615E2D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西宁市蔬菜技术服务中心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620882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编制说明贯彻实施标准的要求、措施等建议部分的编写</w:t>
            </w:r>
          </w:p>
        </w:tc>
      </w:tr>
      <w:tr w14:paraId="3F464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2FDA8D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张金发</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6776D8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男</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6B479F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助理农艺师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42E046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西宁市蔬菜技术服务中心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7552E7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试验数据整理</w:t>
            </w:r>
          </w:p>
        </w:tc>
      </w:tr>
      <w:tr w14:paraId="16F33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566B490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张玉岚</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0A992C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女</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3E49DC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助理农艺师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2BBDD8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西宁市蔬菜技术服务中心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0D657B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鉴定记载要求内容撰写、附录D记录表设计</w:t>
            </w:r>
          </w:p>
        </w:tc>
      </w:tr>
      <w:tr w14:paraId="7D56E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2879FB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张广生</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1F2AD7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男</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1AA71A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高级农艺师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4B2BD6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大通县蔬菜技术服务中心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267C47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柯赫法则验证技术内容撰写、菌株保存要求制定</w:t>
            </w:r>
          </w:p>
        </w:tc>
      </w:tr>
      <w:tr w14:paraId="1C48C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2D2550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魏建平</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2EAFC2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男</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2E8C5B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高级农艺师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271E3D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湟中区蔬菜技术服务中心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4830CF0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标准的初步修改以及落地适用性分析</w:t>
            </w:r>
          </w:p>
        </w:tc>
      </w:tr>
      <w:tr w14:paraId="35C71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69346F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胡建焜</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1EFBC8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男</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42DECA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43DB05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大通县蔬菜技术服务中心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6DA14A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标准资料收集</w:t>
            </w:r>
          </w:p>
        </w:tc>
      </w:tr>
      <w:tr w14:paraId="270FF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6E2053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赵兰</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452920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女</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31844E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农艺师</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63A72F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大通县蔬菜技术服务中心</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64B772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起草单位及人员信息整理</w:t>
            </w:r>
          </w:p>
        </w:tc>
      </w:tr>
      <w:tr w14:paraId="5A263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69" w:type="pct"/>
            <w:tcBorders>
              <w:top w:val="single" w:color="auto" w:sz="4" w:space="0"/>
              <w:left w:val="single" w:color="auto" w:sz="4" w:space="0"/>
              <w:bottom w:val="single" w:color="auto" w:sz="4" w:space="0"/>
              <w:right w:val="single" w:color="auto" w:sz="4" w:space="0"/>
            </w:tcBorders>
            <w:shd w:val="clear" w:color="auto" w:fill="auto"/>
            <w:vAlign w:val="center"/>
          </w:tcPr>
          <w:p w14:paraId="381D2C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任延靖</w:t>
            </w:r>
          </w:p>
        </w:tc>
        <w:tc>
          <w:tcPr>
            <w:tcW w:w="468" w:type="pct"/>
            <w:tcBorders>
              <w:top w:val="single" w:color="auto" w:sz="4" w:space="0"/>
              <w:left w:val="single" w:color="auto" w:sz="4" w:space="0"/>
              <w:bottom w:val="single" w:color="auto" w:sz="4" w:space="0"/>
              <w:right w:val="single" w:color="auto" w:sz="4" w:space="0"/>
            </w:tcBorders>
            <w:shd w:val="clear" w:color="auto" w:fill="auto"/>
            <w:vAlign w:val="center"/>
          </w:tcPr>
          <w:p w14:paraId="655F1D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女</w:t>
            </w:r>
          </w:p>
        </w:tc>
        <w:tc>
          <w:tcPr>
            <w:tcW w:w="948" w:type="pct"/>
            <w:tcBorders>
              <w:top w:val="single" w:color="auto" w:sz="4" w:space="0"/>
              <w:left w:val="single" w:color="auto" w:sz="4" w:space="0"/>
              <w:bottom w:val="single" w:color="auto" w:sz="4" w:space="0"/>
              <w:right w:val="single" w:color="auto" w:sz="4" w:space="0"/>
            </w:tcBorders>
            <w:shd w:val="clear" w:color="auto" w:fill="auto"/>
            <w:vAlign w:val="center"/>
          </w:tcPr>
          <w:p w14:paraId="758633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副研究员</w:t>
            </w:r>
          </w:p>
        </w:tc>
        <w:tc>
          <w:tcPr>
            <w:tcW w:w="1328" w:type="pct"/>
            <w:tcBorders>
              <w:top w:val="single" w:color="auto" w:sz="4" w:space="0"/>
              <w:left w:val="single" w:color="auto" w:sz="4" w:space="0"/>
              <w:bottom w:val="single" w:color="auto" w:sz="4" w:space="0"/>
              <w:right w:val="single" w:color="auto" w:sz="4" w:space="0"/>
            </w:tcBorders>
            <w:shd w:val="clear" w:color="auto" w:fill="auto"/>
            <w:vAlign w:val="center"/>
          </w:tcPr>
          <w:p w14:paraId="0B6384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青海大学农林科学院</w:t>
            </w:r>
          </w:p>
        </w:tc>
        <w:tc>
          <w:tcPr>
            <w:tcW w:w="1585" w:type="pct"/>
            <w:tcBorders>
              <w:top w:val="single" w:color="auto" w:sz="4" w:space="0"/>
              <w:left w:val="single" w:color="auto" w:sz="4" w:space="0"/>
              <w:bottom w:val="single" w:color="auto" w:sz="4" w:space="0"/>
              <w:right w:val="single" w:color="auto" w:sz="4" w:space="0"/>
            </w:tcBorders>
            <w:shd w:val="clear" w:color="auto" w:fill="auto"/>
            <w:vAlign w:val="center"/>
          </w:tcPr>
          <w:p w14:paraId="39806C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eastAsia" w:ascii="仿宋_GB2312" w:hAnsi="宋体" w:eastAsia="仿宋_GB2312" w:cs="Times New Roman"/>
                <w:kern w:val="0"/>
                <w:sz w:val="28"/>
                <w:szCs w:val="28"/>
                <w:lang w:val="en-US" w:eastAsia="zh-CN"/>
              </w:rPr>
            </w:pPr>
            <w:r>
              <w:rPr>
                <w:rFonts w:hint="eastAsia" w:ascii="仿宋_GB2312" w:hAnsi="宋体" w:eastAsia="仿宋_GB2312" w:cs="Times New Roman"/>
                <w:kern w:val="0"/>
                <w:sz w:val="28"/>
                <w:szCs w:val="28"/>
                <w:lang w:val="en-US" w:eastAsia="zh-CN"/>
              </w:rPr>
              <w:t>编制说明制定标准的必要性和意义撰写</w:t>
            </w:r>
          </w:p>
        </w:tc>
      </w:tr>
    </w:tbl>
    <w:p w14:paraId="75A658C8">
      <w:pPr>
        <w:keepNext w:val="0"/>
        <w:keepLines w:val="0"/>
        <w:widowControl/>
        <w:numPr>
          <w:ilvl w:val="0"/>
          <w:numId w:val="0"/>
        </w:numPr>
        <w:suppressLineNumbers w:val="0"/>
        <w:jc w:val="left"/>
        <w:rPr>
          <w:rFonts w:hint="eastAsia" w:ascii="楷体" w:hAnsi="楷体" w:eastAsia="楷体" w:cs="楷体"/>
          <w:color w:val="000000"/>
          <w:kern w:val="0"/>
          <w:sz w:val="31"/>
          <w:szCs w:val="31"/>
          <w:lang w:val="en-US" w:eastAsia="zh-CN" w:bidi="ar"/>
        </w:rPr>
      </w:pPr>
    </w:p>
    <w:p w14:paraId="12B97937">
      <w:pPr>
        <w:keepNext w:val="0"/>
        <w:keepLines w:val="0"/>
        <w:pageBreakBefore w:val="0"/>
        <w:widowControl/>
        <w:numPr>
          <w:ilvl w:val="0"/>
          <w:numId w:val="0"/>
        </w:numPr>
        <w:suppressLineNumbers w:val="0"/>
        <w:kinsoku/>
        <w:wordWrap/>
        <w:overflowPunct/>
        <w:topLinePunct w:val="0"/>
        <w:autoSpaceDE/>
        <w:autoSpaceDN/>
        <w:bidi w:val="0"/>
        <w:adjustRightInd/>
        <w:snapToGrid/>
        <w:ind w:firstLine="640" w:firstLineChars="200"/>
        <w:jc w:val="left"/>
        <w:textAlignment w:val="auto"/>
        <w:rPr>
          <w:rFonts w:hint="eastAsia" w:ascii="仿宋_GB2312" w:hAnsi="宋体" w:eastAsia="仿宋_GB2312" w:cs="Times New Roman"/>
          <w:color w:val="000000" w:themeColor="text1"/>
          <w:kern w:val="0"/>
          <w:sz w:val="32"/>
          <w:szCs w:val="32"/>
          <w:lang w:val="en-US" w:eastAsia="zh-CN"/>
          <w14:textFill>
            <w14:solidFill>
              <w14:schemeClr w14:val="tx1"/>
            </w14:solidFill>
          </w14:textFill>
        </w:rPr>
      </w:pPr>
      <w:r>
        <w:rPr>
          <w:rFonts w:hint="eastAsia" w:ascii="Times New Roman" w:hAnsi="Times New Roman" w:eastAsia="黑体" w:cs="Times New Roman"/>
          <w:color w:val="000000" w:themeColor="text1"/>
          <w:sz w:val="32"/>
          <w:szCs w:val="32"/>
          <w14:textFill>
            <w14:solidFill>
              <w14:schemeClr w14:val="tx1"/>
            </w14:solidFill>
          </w14:textFill>
        </w:rPr>
        <w:t>二、制定标准的必要性和意义</w:t>
      </w:r>
    </w:p>
    <w:p w14:paraId="7B5B437F">
      <w:pPr>
        <w:keepNext w:val="0"/>
        <w:keepLines w:val="0"/>
        <w:widowControl/>
        <w:suppressLineNumbers w:val="0"/>
        <w:ind w:firstLine="640" w:firstLineChars="200"/>
        <w:jc w:val="left"/>
        <w:rPr>
          <w:rFonts w:hint="eastAsia" w:ascii="仿宋_GB2312" w:hAnsi="宋体" w:eastAsia="仿宋_GB2312" w:cs="Times New Roman"/>
          <w:kern w:val="0"/>
          <w:sz w:val="32"/>
          <w:szCs w:val="32"/>
          <w:lang w:val="en-US" w:eastAsia="zh-CN"/>
        </w:rPr>
      </w:pPr>
      <w:r>
        <w:rPr>
          <w:rFonts w:hint="eastAsia" w:ascii="仿宋_GB2312" w:hAnsi="宋体" w:eastAsia="仿宋_GB2312" w:cs="Times New Roman"/>
          <w:kern w:val="0"/>
          <w:sz w:val="32"/>
          <w:szCs w:val="32"/>
          <w:lang w:val="en-US" w:eastAsia="zh-CN"/>
        </w:rPr>
        <w:t>白菜类蔬菜是我国大宗优势蔬菜，种植规模大、市场消费需求旺盛。黄萎病作为典型土传维管束病害，由长孢轮枝菌病原菌引起，可通过土壤、种子及农事操作传播，发病后导致植株维管束变色、叶片黄化萎蔫，严重时减产</w:t>
      </w:r>
      <w:r>
        <w:rPr>
          <w:rFonts w:hint="eastAsia" w:ascii="仿宋_GB2312" w:hAnsi="宋体" w:eastAsia="仿宋_GB2312" w:cs="Times New Roman"/>
          <w:color w:val="000000" w:themeColor="text1"/>
          <w:kern w:val="0"/>
          <w:sz w:val="32"/>
          <w:szCs w:val="32"/>
          <w:highlight w:val="none"/>
          <w:lang w:val="en-US" w:eastAsia="zh-CN"/>
          <w14:textFill>
            <w14:solidFill>
              <w14:schemeClr w14:val="tx1"/>
            </w14:solidFill>
          </w14:textFill>
        </w:rPr>
        <w:t>30%-50%</w:t>
      </w:r>
      <w:r>
        <w:rPr>
          <w:rFonts w:hint="eastAsia" w:ascii="仿宋_GB2312" w:hAnsi="宋体" w:eastAsia="仿宋_GB2312" w:cs="Times New Roman"/>
          <w:kern w:val="0"/>
          <w:sz w:val="32"/>
          <w:szCs w:val="32"/>
          <w:lang w:val="en-US" w:eastAsia="zh-CN"/>
        </w:rPr>
        <w:t>，甚至绝收。</w:t>
      </w:r>
    </w:p>
    <w:p w14:paraId="6691D2B4">
      <w:pPr>
        <w:keepNext w:val="0"/>
        <w:keepLines w:val="0"/>
        <w:widowControl/>
        <w:suppressLineNumbers w:val="0"/>
        <w:ind w:firstLine="640" w:firstLineChars="200"/>
        <w:jc w:val="left"/>
        <w:rPr>
          <w:rFonts w:hint="eastAsia" w:ascii="仿宋_GB2312" w:hAnsi="宋体" w:eastAsia="仿宋_GB2312" w:cs="Times New Roman"/>
          <w:kern w:val="0"/>
          <w:sz w:val="32"/>
          <w:szCs w:val="32"/>
          <w:lang w:val="en-US" w:eastAsia="zh-CN"/>
        </w:rPr>
      </w:pPr>
      <w:r>
        <w:rPr>
          <w:rFonts w:hint="eastAsia" w:ascii="仿宋_GB2312" w:hAnsi="宋体" w:eastAsia="仿宋_GB2312" w:cs="Times New Roman"/>
          <w:kern w:val="0"/>
          <w:sz w:val="32"/>
          <w:szCs w:val="32"/>
          <w:lang w:val="en-US" w:eastAsia="zh-CN"/>
        </w:rPr>
        <w:t>当前生产中，白菜类蔬菜黄萎病抗性鉴定缺乏统一技术规范，目前白菜类蔬菜黄萎病抗性鉴定在接种浓度、病情分级、抗性评价指标等无相关研究报道，难以支撑抗病品种选育推广及病害综合防控工作。在青海地区,局部白菜类蔬菜种植区黄萎病发生频率逐年上升，若缺乏精准抗性鉴定手段，无法高效筛选抗病品种，将难以从源头阻断病害蔓延，制约产业稳定发展。此外，青海省高海拔、昼夜温差大、土壤肥力差异大等独特的气候与土壤条件，国内蔬菜病害相关技术规程难以适配本地应用。因此，制定专属技术规程可确保鉴定结果贴合当地实际种植环境，提升病害鉴定技术的实用性。</w:t>
      </w:r>
    </w:p>
    <w:p w14:paraId="33D92EE1">
      <w:pPr>
        <w:keepNext w:val="0"/>
        <w:keepLines w:val="0"/>
        <w:widowControl/>
        <w:suppressLineNumbers w:val="0"/>
        <w:ind w:firstLine="640" w:firstLineChars="200"/>
        <w:jc w:val="left"/>
        <w:rPr>
          <w:rFonts w:hint="eastAsia" w:ascii="仿宋_GB2312" w:hAnsi="宋体" w:eastAsia="仿宋_GB2312" w:cs="Times New Roman"/>
          <w:kern w:val="0"/>
          <w:sz w:val="32"/>
          <w:szCs w:val="32"/>
          <w:lang w:val="en-US" w:eastAsia="zh-CN"/>
        </w:rPr>
      </w:pPr>
      <w:r>
        <w:rPr>
          <w:rFonts w:hint="eastAsia" w:ascii="仿宋_GB2312" w:hAnsi="宋体" w:eastAsia="仿宋_GB2312" w:cs="Times New Roman"/>
          <w:kern w:val="0"/>
          <w:sz w:val="32"/>
          <w:szCs w:val="32"/>
          <w:lang w:val="en-US" w:eastAsia="zh-CN"/>
        </w:rPr>
        <w:t>本规程的制定，能够填补青海省白菜类蔬菜黄萎病室内抗性鉴定的技术空白，完善当地蔬菜产业技术标准体系，为品种审定、市场监管、技术推广等环节提供统一依据，推动产业标准化发展。同时，明确的抗性鉴定标准可引导育种团队针对性开展抗黄萎病品种培育，缩短育种周期，加速抗病优良品种在青海的推广应用，从根本上降低病害对生产的威胁。通过规程筛选的抗病品种，可减少化学农药使用量，契合青海蔬菜产业绿色防控、生态保护的需求，同时降低种植户生产成本，提升白菜类蔬菜产品品质与市场竞争力。因此，制定统一规范的抗性鉴定技术规程，对推动白菜类蔬菜抗病育种进程、保障蔬菜产业安全生产具有重要现实意义。</w:t>
      </w:r>
    </w:p>
    <w:p w14:paraId="331684F2">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ascii="黑体" w:hAnsi="宋体" w:eastAsia="黑体" w:cs="黑体"/>
          <w:color w:val="000000"/>
          <w:kern w:val="0"/>
          <w:sz w:val="31"/>
          <w:szCs w:val="31"/>
          <w:lang w:val="en-US" w:eastAsia="zh-CN" w:bidi="ar"/>
        </w:rPr>
        <w:t>三、主要起草过程</w:t>
      </w:r>
    </w:p>
    <w:p w14:paraId="0F1D7B97">
      <w:pPr>
        <w:keepNext w:val="0"/>
        <w:keepLines w:val="0"/>
        <w:pageBreakBefore w:val="0"/>
        <w:widowControl/>
        <w:suppressLineNumbers w:val="0"/>
        <w:kinsoku/>
        <w:wordWrap/>
        <w:overflowPunct/>
        <w:topLinePunct w:val="0"/>
        <w:autoSpaceDE/>
        <w:autoSpaceDN/>
        <w:bidi w:val="0"/>
        <w:adjustRightInd/>
        <w:snapToGrid/>
        <w:ind w:firstLine="620" w:firstLineChars="200"/>
        <w:jc w:val="left"/>
        <w:textAlignment w:val="auto"/>
      </w:pPr>
      <w:r>
        <w:rPr>
          <w:rFonts w:ascii="楷体" w:hAnsi="楷体" w:eastAsia="楷体" w:cs="楷体"/>
          <w:color w:val="000000"/>
          <w:kern w:val="0"/>
          <w:sz w:val="31"/>
          <w:szCs w:val="31"/>
          <w:lang w:val="en-US" w:eastAsia="zh-CN" w:bidi="ar"/>
        </w:rPr>
        <w:t>（一）前期研究基础</w:t>
      </w:r>
    </w:p>
    <w:p w14:paraId="4B66D81F">
      <w:pPr>
        <w:keepNext w:val="0"/>
        <w:keepLines w:val="0"/>
        <w:pageBreakBefore w:val="0"/>
        <w:widowControl/>
        <w:suppressLineNumbers w:val="0"/>
        <w:kinsoku/>
        <w:wordWrap/>
        <w:overflowPunct/>
        <w:topLinePunct w:val="0"/>
        <w:autoSpaceDE/>
        <w:autoSpaceDN/>
        <w:bidi w:val="0"/>
        <w:adjustRightInd/>
        <w:snapToGrid/>
        <w:ind w:firstLine="640" w:firstLineChars="200"/>
        <w:jc w:val="both"/>
        <w:textAlignment w:val="auto"/>
        <w:rPr>
          <w:rFonts w:hint="eastAsia" w:ascii="仿宋_GB2312" w:hAnsi="宋体" w:eastAsia="仿宋_GB2312" w:cs="Times New Roman"/>
          <w:kern w:val="0"/>
          <w:sz w:val="32"/>
          <w:szCs w:val="32"/>
          <w:lang w:val="en-US" w:eastAsia="zh-CN"/>
        </w:rPr>
      </w:pPr>
      <w:r>
        <w:rPr>
          <w:rFonts w:hint="eastAsia" w:ascii="仿宋_GB2312" w:hAnsi="宋体" w:eastAsia="仿宋_GB2312" w:cs="Times New Roman"/>
          <w:kern w:val="0"/>
          <w:sz w:val="32"/>
          <w:szCs w:val="32"/>
          <w:lang w:val="en-US" w:eastAsia="zh-CN"/>
        </w:rPr>
        <w:t>近年来，项目组成员围绕白菜类蔬菜黄萎病室内抗性鉴定开展了大量的实验研究工作，从青海地区白菜种植基地采集黄萎病新发病样，采用组织分离法获得以QH-81、QH-87、QH-89为代表的24株菌落形态相似真菌，经纯化培养、致病性测定、形态学及分子生物学鉴定，明确青海地区白菜黄萎病病害病原菌为长孢轮枝菌A1/D1株系。项目积累了丰富的试验数据与技术成果，为团体标准制定提供了翔实的实验依据，奠定了坚实基础。</w:t>
      </w:r>
    </w:p>
    <w:p w14:paraId="43DB4FD9">
      <w:pPr>
        <w:ind w:firstLine="640" w:firstLineChars="200"/>
        <w:rPr>
          <w:rFonts w:hint="eastAsia"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（二）成立起草小组，开展基础工作</w:t>
      </w:r>
    </w:p>
    <w:p w14:paraId="40EC27CD">
      <w:pPr>
        <w:keepNext w:val="0"/>
        <w:keepLines w:val="0"/>
        <w:widowControl/>
        <w:suppressLineNumbers w:val="0"/>
        <w:ind w:firstLine="640" w:firstLineChars="200"/>
        <w:jc w:val="both"/>
        <w:rPr>
          <w:rFonts w:hint="eastAsia" w:ascii="仿宋" w:hAnsi="仿宋" w:eastAsia="仿宋" w:cs="仿宋"/>
          <w:color w:val="000000"/>
          <w:kern w:val="0"/>
          <w:sz w:val="31"/>
          <w:szCs w:val="31"/>
          <w:lang w:val="en-US" w:eastAsia="zh-CN" w:bidi="ar"/>
        </w:rPr>
      </w:pPr>
      <w:r>
        <w:rPr>
          <w:rFonts w:hint="eastAsia" w:ascii="仿宋_GB2312" w:hAnsi="宋体" w:eastAsia="仿宋_GB2312" w:cs="Times New Roman"/>
          <w:kern w:val="0"/>
          <w:sz w:val="32"/>
          <w:szCs w:val="32"/>
          <w:lang w:val="en-US" w:eastAsia="zh-CN"/>
        </w:rPr>
        <w:t>本标准的编制工作从2025年4月启动，由西宁市蔬菜技术服务中心联合宁波检验检疫科学技术研究院等单位，组织相关专业技术人员组建团体标准编制小组。标准立项后，编制小组立即开展白菜类蔬菜黄萎病室内抗性鉴定技术调研，以及国家标准、行业标准、团体标准、地方标准查新工作，大量收集、整理、分析相关技术资料，并按团体标准制定要求进行分类梳理。</w:t>
      </w:r>
    </w:p>
    <w:p w14:paraId="46D313D6">
      <w:pPr>
        <w:ind w:firstLine="640" w:firstLineChars="200"/>
        <w:rPr>
          <w:rFonts w:hint="eastAsia"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（三）明确编制提纲，确定标准框架</w:t>
      </w:r>
    </w:p>
    <w:p w14:paraId="7D27DF62">
      <w:pPr>
        <w:spacing w:line="360" w:lineRule="auto"/>
        <w:ind w:firstLine="640" w:firstLineChars="200"/>
        <w:rPr>
          <w:rFonts w:hint="eastAsia" w:ascii="仿宋_GB2312" w:hAnsi="宋体" w:eastAsia="仿宋_GB2312" w:cs="Times New Roman"/>
          <w:kern w:val="0"/>
          <w:sz w:val="32"/>
          <w:szCs w:val="32"/>
          <w:lang w:val="en-US" w:eastAsia="zh-CN"/>
        </w:rPr>
      </w:pPr>
      <w:r>
        <w:rPr>
          <w:rFonts w:hint="eastAsia" w:ascii="仿宋_GB2312" w:hAnsi="宋体" w:eastAsia="仿宋_GB2312" w:cs="Times New Roman"/>
          <w:kern w:val="0"/>
          <w:sz w:val="32"/>
          <w:szCs w:val="32"/>
          <w:lang w:val="en-US" w:eastAsia="zh-CN"/>
        </w:rPr>
        <w:t>在拟定标准编制工作进度后，结合2021-2024年开展的白菜类蔬菜黄萎病土传病害病原菌接种方法、接种体制备、病情调查等研究成果，总结形成了白菜类蔬菜黄萎病室内抗性鉴定核心技术。编制小组经反复研究讨论，确定了标准编制提纲，形成了标准框架结构。</w:t>
      </w:r>
    </w:p>
    <w:p w14:paraId="0B095130">
      <w:pPr>
        <w:ind w:firstLine="640" w:firstLineChars="200"/>
        <w:rPr>
          <w:rFonts w:hint="eastAsia"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（四）起草标准文本，征求意见并形成标准送审稿</w:t>
      </w:r>
    </w:p>
    <w:p w14:paraId="2E7E8884">
      <w:pPr>
        <w:ind w:firstLine="640" w:firstLineChars="200"/>
        <w:rPr>
          <w:rFonts w:hint="eastAsia" w:ascii="仿宋_GB2312" w:hAnsi="宋体" w:eastAsia="仿宋_GB2312" w:cs="Times New Roman"/>
          <w:kern w:val="0"/>
          <w:sz w:val="32"/>
          <w:szCs w:val="32"/>
          <w:lang w:val="en-US" w:eastAsia="zh-CN"/>
        </w:rPr>
      </w:pPr>
      <w:r>
        <w:rPr>
          <w:rFonts w:hint="eastAsia" w:ascii="仿宋_GB2312" w:hAnsi="宋体" w:eastAsia="仿宋_GB2312" w:cs="Times New Roman"/>
          <w:kern w:val="0"/>
          <w:sz w:val="32"/>
          <w:szCs w:val="32"/>
          <w:lang w:val="en-US" w:eastAsia="zh-CN"/>
        </w:rPr>
        <w:t>2025年4月，起草人员深入学习标准制定相关文件，熟练掌握标准格式、内容及术语表达方式，起草完成《白菜类蔬菜  黄萎病室内抗性鉴定技术规程》团体标准初稿。2025年5月，起草小组成员依据试验研究、验证结果，对标准草案进行多次修改，形成团体标准征求意见稿。2025年</w:t>
      </w:r>
      <w:r>
        <w:rPr>
          <w:rFonts w:hint="eastAsia" w:ascii="仿宋_GB2312" w:hAnsi="宋体" w:eastAsia="仿宋_GB2312" w:cs="Times New Roman"/>
          <w:kern w:val="0"/>
          <w:sz w:val="32"/>
          <w:szCs w:val="32"/>
          <w:highlight w:val="none"/>
          <w:lang w:val="en-US" w:eastAsia="zh-CN"/>
        </w:rPr>
        <w:t>7-9月</w:t>
      </w:r>
      <w:r>
        <w:rPr>
          <w:rFonts w:hint="eastAsia" w:ascii="仿宋_GB2312" w:hAnsi="宋体" w:eastAsia="仿宋_GB2312" w:cs="Times New Roman"/>
          <w:kern w:val="0"/>
          <w:sz w:val="32"/>
          <w:szCs w:val="32"/>
          <w:lang w:val="en-US" w:eastAsia="zh-CN"/>
        </w:rPr>
        <w:t>，完成征求意见工作，广泛征求青海省农业生产、科研、推广单位相关专家意见。在此基础上，梳理汇总专家意见，共形成10条修改意见，无重大意见分歧且全部采纳，具体见附件1，按专家意见对标准进行认真修改，最终形成《白菜类蔬菜  黄萎病室内抗性鉴定技术规程》团体标准送审稿。2026年4月15日，青海省农学会组织专家召开团体标准技术审查会，共征集意见建议8条，具体见附件2。</w:t>
      </w:r>
    </w:p>
    <w:p w14:paraId="62DEA580">
      <w:pPr>
        <w:ind w:firstLine="640" w:firstLineChars="200"/>
        <w:rPr>
          <w:rFonts w:hint="eastAsia"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四、制定标准的原则和依据，与现行法律、法规、标准的关系。</w:t>
      </w:r>
    </w:p>
    <w:p w14:paraId="4E18068F">
      <w:pPr>
        <w:ind w:firstLine="640" w:firstLineChars="200"/>
        <w:rPr>
          <w:rFonts w:hint="eastAsia"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（一）制定原则</w:t>
      </w:r>
    </w:p>
    <w:p w14:paraId="2B881D51">
      <w:pPr>
        <w:spacing w:line="360" w:lineRule="auto"/>
        <w:ind w:firstLine="640" w:firstLineChars="200"/>
        <w:rPr>
          <w:rFonts w:hint="eastAsia" w:ascii="仿宋_GB2312" w:hAnsi="宋体" w:eastAsia="仿宋_GB2312" w:cs="Times New Roman"/>
          <w:kern w:val="0"/>
          <w:sz w:val="32"/>
          <w:szCs w:val="32"/>
        </w:rPr>
      </w:pPr>
      <w:r>
        <w:rPr>
          <w:rFonts w:hint="eastAsia" w:ascii="仿宋_GB2312" w:hAnsi="宋体" w:eastAsia="仿宋_GB2312" w:cs="Times New Roman"/>
          <w:kern w:val="0"/>
          <w:sz w:val="32"/>
          <w:szCs w:val="32"/>
          <w:lang w:val="en-US" w:eastAsia="zh-CN"/>
        </w:rPr>
        <w:t>本标准的整个起草过程严格按照工作计划进行，并遵循“科学性、合理性、先进性、实用性、普遍性”的原则。</w:t>
      </w:r>
    </w:p>
    <w:p w14:paraId="2622139C">
      <w:pPr>
        <w:ind w:firstLine="640" w:firstLineChars="200"/>
        <w:rPr>
          <w:rFonts w:hint="eastAsia"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（二）制定依据</w:t>
      </w:r>
    </w:p>
    <w:p w14:paraId="2DF0D248">
      <w:pPr>
        <w:ind w:firstLine="640" w:firstLineChars="200"/>
        <w:rPr>
          <w:rFonts w:hint="eastAsia" w:ascii="仿宋_GB2312" w:hAnsi="宋体" w:eastAsia="仿宋_GB2312" w:cs="Times New Roman"/>
          <w:kern w:val="0"/>
          <w:sz w:val="32"/>
          <w:szCs w:val="32"/>
          <w:lang w:val="en-US" w:eastAsia="zh-CN"/>
        </w:rPr>
      </w:pPr>
      <w:r>
        <w:rPr>
          <w:rFonts w:hint="eastAsia" w:ascii="仿宋_GB2312" w:hAnsi="宋体" w:eastAsia="仿宋_GB2312" w:cs="Times New Roman"/>
          <w:kern w:val="0"/>
          <w:sz w:val="32"/>
          <w:szCs w:val="32"/>
          <w:lang w:val="en-US" w:eastAsia="zh-CN"/>
        </w:rPr>
        <w:t>本标准严格遵循GB/T 1.1-2020标准化工作导则第1部分：标准化文件的结构和起草规则》、GB/T 20001.6-2017《标准编写规则  第6部分：规程标准》以及《青海省农学会团体标准管理办法》制定。</w:t>
      </w:r>
    </w:p>
    <w:p w14:paraId="0088AAF9">
      <w:pPr>
        <w:ind w:firstLine="640" w:firstLineChars="200"/>
        <w:rPr>
          <w:rFonts w:hint="eastAsia" w:ascii="Times New Roman" w:hAnsi="Times New Roman" w:eastAsia="楷体_GB2312" w:cs="Times New Roman"/>
          <w:sz w:val="32"/>
          <w:szCs w:val="32"/>
        </w:rPr>
      </w:pPr>
      <w:r>
        <w:rPr>
          <w:rFonts w:hint="eastAsia" w:ascii="Times New Roman" w:hAnsi="Times New Roman" w:eastAsia="楷体_GB2312" w:cs="Times New Roman"/>
          <w:sz w:val="32"/>
          <w:szCs w:val="32"/>
          <w:lang w:val="en-US" w:eastAsia="zh-CN"/>
        </w:rPr>
        <w:t>（三）与现行法律、法规、标准的关系</w:t>
      </w:r>
    </w:p>
    <w:p w14:paraId="2FEE820C">
      <w:pPr>
        <w:keepNext w:val="0"/>
        <w:keepLines w:val="0"/>
        <w:widowControl/>
        <w:suppressLineNumbers w:val="0"/>
        <w:ind w:firstLine="640" w:firstLineChars="200"/>
        <w:jc w:val="left"/>
        <w:rPr>
          <w:rFonts w:hint="eastAsia" w:ascii="仿宋" w:hAnsi="仿宋" w:eastAsia="仿宋" w:cs="仿宋"/>
          <w:color w:val="000000"/>
          <w:kern w:val="0"/>
          <w:sz w:val="31"/>
          <w:szCs w:val="31"/>
          <w:lang w:val="en-US" w:eastAsia="zh-CN" w:bidi="ar"/>
        </w:rPr>
      </w:pPr>
      <w:r>
        <w:rPr>
          <w:rFonts w:hint="eastAsia" w:ascii="仿宋_GB2312" w:hAnsi="宋体" w:eastAsia="仿宋_GB2312" w:cs="Times New Roman"/>
          <w:kern w:val="0"/>
          <w:sz w:val="32"/>
          <w:szCs w:val="32"/>
          <w:lang w:val="en-US" w:eastAsia="zh-CN"/>
        </w:rPr>
        <w:t>本标准与现行法律、法规、标准无冲突。</w:t>
      </w:r>
    </w:p>
    <w:p w14:paraId="18126AA6">
      <w:pPr>
        <w:keepNext w:val="0"/>
        <w:keepLines w:val="0"/>
        <w:widowControl/>
        <w:suppressLineNumbers w:val="0"/>
        <w:ind w:firstLine="620" w:firstLineChars="200"/>
        <w:jc w:val="left"/>
      </w:pPr>
      <w:r>
        <w:rPr>
          <w:rFonts w:ascii="黑体" w:hAnsi="宋体" w:eastAsia="黑体" w:cs="黑体"/>
          <w:color w:val="000000"/>
          <w:kern w:val="0"/>
          <w:sz w:val="31"/>
          <w:szCs w:val="31"/>
          <w:lang w:val="en-US" w:eastAsia="zh-CN" w:bidi="ar"/>
        </w:rPr>
        <w:t>五、主要条款的说明</w:t>
      </w:r>
    </w:p>
    <w:p w14:paraId="15CE0A36">
      <w:pPr>
        <w:ind w:firstLine="640" w:firstLineChars="200"/>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pPr>
      <w:bookmarkStart w:id="0" w:name="_Toc6513"/>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（一）</w:t>
      </w:r>
      <w:bookmarkEnd w:id="0"/>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黄萎病抗性鉴定</w:t>
      </w:r>
    </w:p>
    <w:p w14:paraId="538E533A">
      <w:pPr>
        <w:pStyle w:val="12"/>
        <w:ind w:left="0" w:leftChars="0" w:firstLine="640" w:firstLineChars="200"/>
        <w:rPr>
          <w:rFonts w:hint="default" w:ascii="仿宋_GB2312" w:hAnsi="宋体" w:eastAsia="仿宋_GB2312" w:cs="Times New Roman"/>
          <w:kern w:val="0"/>
          <w:sz w:val="32"/>
          <w:szCs w:val="32"/>
          <w:lang w:val="en-US" w:eastAsia="zh-CN" w:bidi="ar-SA"/>
        </w:rPr>
      </w:pPr>
      <w:r>
        <w:rPr>
          <w:rFonts w:hint="eastAsia" w:ascii="仿宋_GB2312" w:hAnsi="宋体" w:eastAsia="仿宋_GB2312" w:cs="Times New Roman"/>
          <w:kern w:val="0"/>
          <w:sz w:val="32"/>
          <w:szCs w:val="32"/>
          <w:lang w:val="en-US" w:eastAsia="zh-CN" w:bidi="ar-SA"/>
        </w:rPr>
        <w:t>1 试供样品来源</w:t>
      </w:r>
    </w:p>
    <w:p w14:paraId="596D6C84">
      <w:pPr>
        <w:pStyle w:val="12"/>
        <w:ind w:left="0" w:leftChars="0" w:firstLine="640" w:firstLineChars="200"/>
        <w:rPr>
          <w:rFonts w:hint="eastAsia" w:ascii="仿宋_GB2312" w:hAnsi="宋体" w:eastAsia="仿宋_GB2312" w:cs="Times New Roman"/>
          <w:kern w:val="0"/>
          <w:sz w:val="32"/>
          <w:szCs w:val="32"/>
          <w:lang w:val="en-US" w:eastAsia="zh-CN" w:bidi="ar-SA"/>
        </w:rPr>
      </w:pPr>
      <w:r>
        <w:rPr>
          <w:rFonts w:hint="eastAsia" w:ascii="仿宋_GB2312" w:hAnsi="宋体" w:eastAsia="仿宋_GB2312" w:cs="Times New Roman"/>
          <w:kern w:val="0"/>
          <w:sz w:val="32"/>
          <w:szCs w:val="32"/>
          <w:lang w:val="en-US" w:eastAsia="zh-CN" w:bidi="ar-SA"/>
        </w:rPr>
        <w:t>供试样品采集自青海白菜主产区病田，包括海东市民和</w:t>
      </w:r>
      <w:r>
        <w:rPr>
          <w:rFonts w:hint="eastAsia" w:ascii="仿宋_GB2312" w:hAnsi="宋体" w:eastAsia="仿宋_GB2312" w:cs="Times New Roman"/>
          <w:color w:val="auto"/>
          <w:kern w:val="0"/>
          <w:sz w:val="32"/>
          <w:szCs w:val="32"/>
          <w:lang w:val="en-US" w:eastAsia="zh-CN" w:bidi="ar-SA"/>
        </w:rPr>
        <w:t>县马垣乡马场垣村</w:t>
      </w:r>
      <w:r>
        <w:rPr>
          <w:rFonts w:hint="eastAsia" w:ascii="仿宋_GB2312" w:hAnsi="宋体" w:eastAsia="仿宋_GB2312" w:cs="Times New Roman"/>
          <w:kern w:val="0"/>
          <w:sz w:val="32"/>
          <w:szCs w:val="32"/>
          <w:lang w:val="en-US" w:eastAsia="zh-CN" w:bidi="ar-SA"/>
        </w:rPr>
        <w:t>、海东市乐都区洪水镇马家营村、海南州贵德县尕让乡蓆芨滩村、西宁市湟中县拦隆口镇千户营千东村、西宁市湟源县申宗乡韭菜沟村，共获得10份病样，经低温运输至实验室后立即开展分离工作。</w:t>
      </w:r>
    </w:p>
    <w:p w14:paraId="06CF4F28">
      <w:pPr>
        <w:pStyle w:val="12"/>
        <w:ind w:left="0" w:leftChars="0" w:firstLine="640" w:firstLineChars="200"/>
        <w:rPr>
          <w:rFonts w:hint="eastAsia" w:ascii="仿宋_GB2312" w:hAnsi="宋体" w:eastAsia="仿宋_GB2312" w:cs="Times New Roman"/>
          <w:kern w:val="0"/>
          <w:sz w:val="32"/>
          <w:szCs w:val="32"/>
          <w:lang w:val="en-US" w:eastAsia="zh-CN" w:bidi="ar-SA"/>
        </w:rPr>
      </w:pPr>
      <w:bookmarkStart w:id="1" w:name="_Toc14632"/>
      <w:r>
        <w:rPr>
          <w:rFonts w:hint="eastAsia" w:ascii="仿宋_GB2312" w:hAnsi="宋体" w:eastAsia="仿宋_GB2312" w:cs="Times New Roman"/>
          <w:kern w:val="0"/>
          <w:sz w:val="32"/>
          <w:szCs w:val="32"/>
          <w:lang w:val="en-US" w:eastAsia="zh-CN" w:bidi="ar-SA"/>
        </w:rPr>
        <w:t>2 病原菌的分离纯化</w:t>
      </w:r>
      <w:bookmarkEnd w:id="1"/>
    </w:p>
    <w:p w14:paraId="0B422470">
      <w:pPr>
        <w:pStyle w:val="11"/>
        <w:keepNext w:val="0"/>
        <w:keepLines w:val="0"/>
        <w:pageBreakBefore w:val="0"/>
        <w:widowControl/>
        <w:numPr>
          <w:ilvl w:val="0"/>
          <w:numId w:val="0"/>
        </w:numPr>
        <w:kinsoku/>
        <w:wordWrap/>
        <w:overflowPunct/>
        <w:topLinePunct w:val="0"/>
        <w:autoSpaceDE/>
        <w:autoSpaceDN/>
        <w:bidi w:val="0"/>
        <w:adjustRightInd/>
        <w:snapToGrid/>
        <w:spacing w:before="0" w:beforeLines="0" w:after="0" w:afterLines="0"/>
        <w:ind w:firstLine="640" w:firstLineChars="200"/>
        <w:textAlignment w:val="auto"/>
        <w:rPr>
          <w:rFonts w:hint="eastAsia" w:ascii="仿宋_GB2312" w:hAnsi="宋体" w:eastAsia="仿宋_GB2312" w:cs="Times New Roman"/>
          <w:kern w:val="0"/>
          <w:sz w:val="32"/>
          <w:szCs w:val="32"/>
          <w:lang w:val="en-US" w:eastAsia="zh-CN" w:bidi="ar-SA"/>
        </w:rPr>
      </w:pPr>
      <w:r>
        <w:rPr>
          <w:rFonts w:hint="eastAsia" w:ascii="仿宋_GB2312" w:hAnsi="宋体" w:eastAsia="仿宋_GB2312" w:cs="Times New Roman"/>
          <w:kern w:val="0"/>
          <w:sz w:val="32"/>
          <w:szCs w:val="32"/>
          <w:lang w:val="en-US" w:eastAsia="zh-CN" w:bidi="ar-SA"/>
        </w:rPr>
        <w:t>常规方法对采集的白菜病样进行组织分离。首先用无菌水清洗样品并晾干，在病健交界处切取3 mm×3 mm变色维管束组织，用1 %次氯酸钠溶液消毒2分钟，再用无菌水冲洗3次，置于滤纸上晾干，在PDA培养基上以25℃恒温黑暗条件下进行培养，进行反复培养，纯化后的菌株保存于PDA斜面或-80℃甘油管备用。</w:t>
      </w:r>
    </w:p>
    <w:p w14:paraId="002C7511">
      <w:pPr>
        <w:pStyle w:val="12"/>
        <w:ind w:left="0" w:leftChars="0" w:firstLine="640" w:firstLineChars="200"/>
        <w:rPr>
          <w:rFonts w:hint="eastAsia" w:ascii="仿宋_GB2312" w:hAnsi="宋体" w:eastAsia="仿宋_GB2312" w:cs="Times New Roman"/>
          <w:kern w:val="0"/>
          <w:sz w:val="32"/>
          <w:szCs w:val="32"/>
          <w:lang w:val="en-US" w:eastAsia="zh-CN" w:bidi="ar-SA"/>
        </w:rPr>
      </w:pPr>
      <w:bookmarkStart w:id="2" w:name="_Toc20657"/>
      <w:r>
        <w:rPr>
          <w:rFonts w:hint="eastAsia" w:ascii="仿宋_GB2312" w:hAnsi="宋体" w:eastAsia="仿宋_GB2312" w:cs="Times New Roman"/>
          <w:kern w:val="0"/>
          <w:sz w:val="32"/>
          <w:szCs w:val="32"/>
          <w:lang w:val="en-US" w:eastAsia="zh-CN" w:bidi="ar-SA"/>
        </w:rPr>
        <w:t xml:space="preserve">3 </w:t>
      </w:r>
      <w:bookmarkEnd w:id="2"/>
      <w:r>
        <w:rPr>
          <w:rFonts w:hint="eastAsia" w:ascii="仿宋_GB2312" w:hAnsi="宋体" w:eastAsia="仿宋_GB2312" w:cs="Times New Roman"/>
          <w:kern w:val="0"/>
          <w:sz w:val="32"/>
          <w:szCs w:val="32"/>
          <w:lang w:val="en-US" w:eastAsia="zh-CN" w:bidi="ar-SA"/>
        </w:rPr>
        <w:t>品种的选择与接种</w:t>
      </w:r>
    </w:p>
    <w:p w14:paraId="6DC0495A">
      <w:pPr>
        <w:pStyle w:val="12"/>
        <w:ind w:left="0" w:leftChars="0" w:firstLine="640" w:firstLineChars="200"/>
        <w:rPr>
          <w:rFonts w:hint="eastAsia" w:ascii="仿宋_GB2312" w:hAnsi="宋体" w:eastAsia="仿宋_GB2312" w:cs="Times New Roman"/>
          <w:kern w:val="0"/>
          <w:sz w:val="32"/>
          <w:szCs w:val="32"/>
          <w:lang w:val="en-US" w:eastAsia="zh-CN" w:bidi="ar-SA"/>
        </w:rPr>
      </w:pPr>
      <w:r>
        <w:rPr>
          <w:rFonts w:hint="eastAsia" w:ascii="仿宋_GB2312" w:hAnsi="宋体" w:eastAsia="仿宋_GB2312" w:cs="Times New Roman"/>
          <w:kern w:val="0"/>
          <w:sz w:val="32"/>
          <w:szCs w:val="32"/>
          <w:lang w:val="en-US" w:eastAsia="zh-CN" w:bidi="ar-SA"/>
        </w:rPr>
        <w:t>选用不同品种白菜开展接种试验。白菜种子先播种于育苗盘，幼苗长至两子叶期时，移栽至直径15 cm的花盆，每盆3株，待幼苗长至4片～5片真叶期进行接种。</w:t>
      </w:r>
    </w:p>
    <w:p w14:paraId="6CF624D9">
      <w:pPr>
        <w:pStyle w:val="12"/>
        <w:ind w:left="0" w:leftChars="0" w:firstLine="640" w:firstLineChars="200"/>
        <w:rPr>
          <w:rFonts w:hint="default" w:ascii="仿宋_GB2312" w:hAnsi="宋体" w:eastAsia="仿宋_GB2312" w:cs="Times New Roman"/>
          <w:kern w:val="0"/>
          <w:sz w:val="32"/>
          <w:szCs w:val="32"/>
          <w:lang w:val="en-US" w:eastAsia="zh-CN" w:bidi="ar-SA"/>
        </w:rPr>
      </w:pPr>
      <w:r>
        <w:rPr>
          <w:rFonts w:hint="eastAsia" w:ascii="仿宋_GB2312" w:hAnsi="宋体" w:eastAsia="仿宋_GB2312" w:cs="Times New Roman"/>
          <w:kern w:val="0"/>
          <w:sz w:val="32"/>
          <w:szCs w:val="32"/>
          <w:lang w:val="en-US" w:eastAsia="zh-CN" w:bidi="ar-SA"/>
        </w:rPr>
        <w:t>4 试验设置</w:t>
      </w:r>
    </w:p>
    <w:p w14:paraId="6D3E0A7C">
      <w:pPr>
        <w:pStyle w:val="12"/>
        <w:ind w:left="0" w:leftChars="0" w:firstLine="640" w:firstLineChars="200"/>
        <w:rPr>
          <w:rFonts w:hint="eastAsia" w:ascii="仿宋_GB2312" w:hAnsi="宋体" w:eastAsia="仿宋_GB2312" w:cs="Times New Roman"/>
          <w:kern w:val="0"/>
          <w:sz w:val="32"/>
          <w:szCs w:val="32"/>
          <w:lang w:val="en-US" w:eastAsia="zh-CN" w:bidi="ar-SA"/>
        </w:rPr>
      </w:pPr>
      <w:bookmarkStart w:id="3" w:name="_Toc539"/>
      <w:r>
        <w:rPr>
          <w:rFonts w:hint="eastAsia" w:ascii="仿宋_GB2312" w:hAnsi="宋体" w:eastAsia="仿宋_GB2312" w:cs="Times New Roman"/>
          <w:kern w:val="0"/>
          <w:sz w:val="32"/>
          <w:szCs w:val="32"/>
          <w:lang w:val="en-US" w:eastAsia="zh-CN" w:bidi="ar-SA"/>
        </w:rPr>
        <w:t>配制浓度为5×10</w:t>
      </w:r>
      <w:r>
        <w:rPr>
          <w:rFonts w:hint="eastAsia" w:ascii="仿宋_GB2312" w:hAnsi="宋体" w:eastAsia="仿宋_GB2312" w:cs="Times New Roman"/>
          <w:kern w:val="0"/>
          <w:sz w:val="32"/>
          <w:szCs w:val="32"/>
          <w:vertAlign w:val="superscript"/>
          <w:lang w:val="en-US" w:eastAsia="zh-CN" w:bidi="ar-SA"/>
        </w:rPr>
        <w:t>6</w:t>
      </w:r>
      <w:r>
        <w:rPr>
          <w:rFonts w:hint="eastAsia" w:ascii="仿宋_GB2312" w:hAnsi="宋体" w:eastAsia="仿宋_GB2312" w:cs="Times New Roman"/>
          <w:kern w:val="0"/>
          <w:sz w:val="32"/>
          <w:szCs w:val="32"/>
          <w:lang w:val="en-US" w:eastAsia="zh-CN" w:bidi="ar-SA"/>
        </w:rPr>
        <w:t xml:space="preserve"> CFU/mL的新鲜菌悬液，采用灌根法时每株接种40 mL，同时设置1盆对照（无菌水接种）。试验采用随机区组排列设计，设3次重复，单株种植，每处理12株。</w:t>
      </w:r>
    </w:p>
    <w:p w14:paraId="449639DD">
      <w:pPr>
        <w:pStyle w:val="12"/>
        <w:ind w:left="0" w:leftChars="0" w:firstLine="620" w:firstLineChars="200"/>
        <w:rPr>
          <w:rFonts w:hint="eastAsia" w:ascii="仿宋_GB2312" w:hAnsi="宋体" w:eastAsia="仿宋_GB2312" w:cs="Times New Roman"/>
          <w:kern w:val="0"/>
          <w:sz w:val="32"/>
          <w:szCs w:val="32"/>
          <w:lang w:val="en-US" w:eastAsia="zh-CN" w:bidi="ar-SA"/>
        </w:rPr>
      </w:pPr>
      <w:r>
        <w:rPr>
          <w:rFonts w:hint="eastAsia" w:ascii="仿宋" w:hAnsi="仿宋" w:eastAsia="仿宋" w:cs="仿宋"/>
          <w:color w:val="000000"/>
          <w:kern w:val="0"/>
          <w:sz w:val="31"/>
          <w:szCs w:val="31"/>
          <w:lang w:val="en-US" w:eastAsia="zh-CN" w:bidi="ar"/>
        </w:rPr>
        <w:t xml:space="preserve">5 </w:t>
      </w:r>
      <w:r>
        <w:rPr>
          <w:rFonts w:hint="default" w:ascii="仿宋" w:hAnsi="仿宋" w:eastAsia="仿宋" w:cs="仿宋"/>
          <w:color w:val="000000"/>
          <w:kern w:val="0"/>
          <w:sz w:val="31"/>
          <w:szCs w:val="31"/>
          <w:lang w:val="en-US" w:eastAsia="zh-CN" w:bidi="ar"/>
        </w:rPr>
        <w:t>病情指数</w:t>
      </w:r>
      <w:bookmarkEnd w:id="3"/>
    </w:p>
    <w:p w14:paraId="110C50A5">
      <w:pPr>
        <w:pStyle w:val="12"/>
        <w:ind w:left="0" w:leftChars="0" w:firstLine="640" w:firstLineChars="200"/>
        <w:rPr>
          <w:rFonts w:hint="eastAsia" w:ascii="Times New Roman" w:hAnsi="Times New Roman" w:eastAsia="宋体" w:cs="Times New Roman"/>
        </w:rPr>
      </w:pPr>
      <w:r>
        <w:rPr>
          <w:rFonts w:hint="eastAsia" w:ascii="仿宋_GB2312" w:hAnsi="宋体" w:eastAsia="仿宋_GB2312" w:cs="Times New Roman"/>
          <w:kern w:val="0"/>
          <w:sz w:val="32"/>
          <w:szCs w:val="32"/>
          <w:lang w:val="en-US" w:eastAsia="zh-CN" w:bidi="ar-SA"/>
        </w:rPr>
        <w:t>接种后的白菜置于人工气候室进行培养，并定期观测其发病情况。白菜黄萎病病害病情级别划分见表1。</w:t>
      </w:r>
    </w:p>
    <w:p w14:paraId="79F05D73">
      <w:pPr>
        <w:pStyle w:val="4"/>
        <w:keepNext w:val="0"/>
        <w:keepLines w:val="0"/>
        <w:pageBreakBefore w:val="0"/>
        <w:widowControl w:val="0"/>
        <w:kinsoku/>
        <w:wordWrap/>
        <w:overflowPunct/>
        <w:topLinePunct w:val="0"/>
        <w:autoSpaceDE/>
        <w:autoSpaceDN/>
        <w:bidi w:val="0"/>
        <w:adjustRightInd/>
        <w:snapToGrid/>
        <w:spacing w:before="120" w:after="120"/>
        <w:ind w:left="2976"/>
        <w:textAlignment w:val="auto"/>
        <w:rPr>
          <w:rFonts w:hint="eastAsia" w:ascii="仿宋" w:hAnsi="仿宋" w:eastAsia="仿宋" w:cs="仿宋"/>
          <w:b w:val="0"/>
          <w:bCs w:val="0"/>
          <w:sz w:val="21"/>
          <w:szCs w:val="21"/>
        </w:rPr>
      </w:pPr>
      <w:r>
        <w:rPr>
          <w:rFonts w:hint="eastAsia" w:ascii="仿宋" w:hAnsi="仿宋" w:eastAsia="仿宋" w:cs="仿宋"/>
          <w:b w:val="0"/>
          <w:bCs w:val="0"/>
          <w:sz w:val="21"/>
          <w:szCs w:val="21"/>
        </w:rPr>
        <w:t>表1</w:t>
      </w:r>
      <w:r>
        <w:rPr>
          <w:rFonts w:hint="eastAsia" w:ascii="仿宋" w:hAnsi="仿宋" w:eastAsia="仿宋" w:cs="仿宋"/>
          <w:b w:val="0"/>
          <w:bCs w:val="0"/>
          <w:spacing w:val="32"/>
          <w:w w:val="150"/>
          <w:sz w:val="21"/>
          <w:szCs w:val="21"/>
        </w:rPr>
        <w:t xml:space="preserve"> </w:t>
      </w:r>
      <w:r>
        <w:rPr>
          <w:rFonts w:hint="eastAsia" w:ascii="仿宋" w:hAnsi="仿宋" w:eastAsia="仿宋" w:cs="仿宋"/>
          <w:b w:val="0"/>
          <w:bCs w:val="0"/>
          <w:spacing w:val="-1"/>
          <w:sz w:val="21"/>
          <w:szCs w:val="21"/>
          <w:lang w:val="en-US" w:eastAsia="zh-CN"/>
        </w:rPr>
        <w:t>白菜黄萎病</w:t>
      </w:r>
      <w:r>
        <w:rPr>
          <w:rFonts w:hint="eastAsia" w:ascii="仿宋" w:hAnsi="仿宋" w:eastAsia="仿宋" w:cs="仿宋"/>
          <w:b w:val="0"/>
          <w:bCs w:val="0"/>
          <w:spacing w:val="-1"/>
          <w:sz w:val="21"/>
          <w:szCs w:val="21"/>
        </w:rPr>
        <w:t>病害病情级别划分</w:t>
      </w:r>
    </w:p>
    <w:tbl>
      <w:tblPr>
        <w:tblStyle w:val="18"/>
        <w:tblW w:w="8309" w:type="dxa"/>
        <w:jc w:val="right"/>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995"/>
        <w:gridCol w:w="6314"/>
      </w:tblGrid>
      <w:tr w14:paraId="2ABF8D6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06" w:hRule="atLeast"/>
          <w:jc w:val="right"/>
        </w:trPr>
        <w:tc>
          <w:tcPr>
            <w:tcW w:w="1995" w:type="dxa"/>
            <w:tcBorders>
              <w:top w:val="single" w:color="000000" w:sz="10" w:space="0"/>
              <w:bottom w:val="single" w:color="000000" w:sz="2" w:space="0"/>
            </w:tcBorders>
            <w:noWrap w:val="0"/>
            <w:vAlign w:val="top"/>
          </w:tcPr>
          <w:p w14:paraId="0486571F">
            <w:pPr>
              <w:pStyle w:val="17"/>
              <w:spacing w:before="66" w:line="212" w:lineRule="auto"/>
              <w:jc w:val="center"/>
              <w:rPr>
                <w:rFonts w:hint="eastAsia" w:ascii="仿宋" w:hAnsi="仿宋" w:eastAsia="仿宋" w:cs="仿宋"/>
                <w:color w:val="000000"/>
                <w:sz w:val="21"/>
                <w:szCs w:val="21"/>
              </w:rPr>
            </w:pPr>
            <w:r>
              <w:rPr>
                <w:rFonts w:hint="eastAsia" w:ascii="仿宋" w:hAnsi="仿宋" w:eastAsia="仿宋" w:cs="仿宋"/>
                <w:color w:val="000000"/>
                <w:spacing w:val="11"/>
                <w:sz w:val="21"/>
                <w:szCs w:val="21"/>
              </w:rPr>
              <w:t>等级</w:t>
            </w:r>
          </w:p>
        </w:tc>
        <w:tc>
          <w:tcPr>
            <w:tcW w:w="6314" w:type="dxa"/>
            <w:tcBorders>
              <w:top w:val="single" w:color="000000" w:sz="10" w:space="0"/>
              <w:bottom w:val="single" w:color="000000" w:sz="2" w:space="0"/>
            </w:tcBorders>
            <w:noWrap w:val="0"/>
            <w:vAlign w:val="top"/>
          </w:tcPr>
          <w:p w14:paraId="4DEC14C3">
            <w:pPr>
              <w:pStyle w:val="17"/>
              <w:spacing w:before="66" w:line="212" w:lineRule="auto"/>
              <w:jc w:val="center"/>
              <w:rPr>
                <w:rFonts w:hint="eastAsia" w:ascii="仿宋" w:hAnsi="仿宋" w:eastAsia="仿宋" w:cs="仿宋"/>
                <w:color w:val="000000"/>
                <w:sz w:val="21"/>
                <w:szCs w:val="21"/>
              </w:rPr>
            </w:pPr>
            <w:r>
              <w:rPr>
                <w:rFonts w:hint="eastAsia" w:ascii="仿宋" w:hAnsi="仿宋" w:eastAsia="仿宋" w:cs="仿宋"/>
                <w:color w:val="000000"/>
                <w:sz w:val="21"/>
                <w:szCs w:val="21"/>
                <w:lang w:eastAsia="zh-CN"/>
              </w:rPr>
              <w:t>病斑占比范围</w:t>
            </w:r>
          </w:p>
        </w:tc>
      </w:tr>
      <w:tr w14:paraId="2343B10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310" w:hRule="atLeast"/>
          <w:jc w:val="right"/>
        </w:trPr>
        <w:tc>
          <w:tcPr>
            <w:tcW w:w="1995" w:type="dxa"/>
            <w:noWrap w:val="0"/>
            <w:vAlign w:val="top"/>
          </w:tcPr>
          <w:p w14:paraId="53A3FE1F">
            <w:pPr>
              <w:pStyle w:val="17"/>
              <w:spacing w:before="55" w:line="213" w:lineRule="auto"/>
              <w:jc w:val="center"/>
              <w:rPr>
                <w:rFonts w:hint="eastAsia" w:ascii="仿宋" w:hAnsi="仿宋" w:eastAsia="仿宋" w:cs="仿宋"/>
                <w:color w:val="000000"/>
                <w:sz w:val="21"/>
                <w:szCs w:val="21"/>
              </w:rPr>
            </w:pPr>
            <w:r>
              <w:rPr>
                <w:rFonts w:hint="eastAsia" w:ascii="仿宋" w:hAnsi="仿宋" w:eastAsia="仿宋" w:cs="仿宋"/>
                <w:color w:val="000000"/>
                <w:spacing w:val="-10"/>
                <w:sz w:val="21"/>
                <w:szCs w:val="21"/>
                <w:lang w:val="en-US" w:eastAsia="zh-CN"/>
              </w:rPr>
              <w:t>0</w:t>
            </w:r>
            <w:r>
              <w:rPr>
                <w:rFonts w:hint="eastAsia" w:ascii="仿宋" w:hAnsi="仿宋" w:eastAsia="仿宋" w:cs="仿宋"/>
                <w:color w:val="000000"/>
                <w:spacing w:val="-10"/>
                <w:sz w:val="21"/>
                <w:szCs w:val="21"/>
              </w:rPr>
              <w:t>级</w:t>
            </w:r>
          </w:p>
        </w:tc>
        <w:tc>
          <w:tcPr>
            <w:tcW w:w="6314" w:type="dxa"/>
            <w:noWrap w:val="0"/>
            <w:vAlign w:val="top"/>
          </w:tcPr>
          <w:p w14:paraId="254E22F9">
            <w:pPr>
              <w:pStyle w:val="17"/>
              <w:spacing w:before="55" w:line="213" w:lineRule="auto"/>
              <w:jc w:val="center"/>
              <w:rPr>
                <w:rFonts w:hint="eastAsia" w:ascii="仿宋" w:hAnsi="仿宋" w:eastAsia="仿宋" w:cs="仿宋"/>
                <w:color w:val="000000"/>
                <w:sz w:val="21"/>
                <w:szCs w:val="21"/>
                <w:lang w:eastAsia="zh-CN"/>
              </w:rPr>
            </w:pPr>
            <w:r>
              <w:rPr>
                <w:rFonts w:hint="eastAsia" w:ascii="仿宋" w:hAnsi="仿宋" w:eastAsia="仿宋" w:cs="仿宋"/>
                <w:color w:val="000000"/>
                <w:spacing w:val="7"/>
                <w:sz w:val="21"/>
                <w:szCs w:val="21"/>
                <w:lang w:val="en-US" w:eastAsia="zh-CN"/>
              </w:rPr>
              <w:t>无病斑</w:t>
            </w:r>
          </w:p>
        </w:tc>
      </w:tr>
      <w:tr w14:paraId="5DD27D9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96" w:hRule="atLeast"/>
          <w:jc w:val="right"/>
        </w:trPr>
        <w:tc>
          <w:tcPr>
            <w:tcW w:w="1995" w:type="dxa"/>
            <w:noWrap w:val="0"/>
            <w:vAlign w:val="top"/>
          </w:tcPr>
          <w:p w14:paraId="17E6F5A7">
            <w:pPr>
              <w:pStyle w:val="17"/>
              <w:spacing w:before="58" w:line="211" w:lineRule="auto"/>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1</w:t>
            </w:r>
            <w:r>
              <w:rPr>
                <w:rFonts w:hint="eastAsia" w:ascii="仿宋" w:hAnsi="仿宋" w:eastAsia="仿宋" w:cs="仿宋"/>
                <w:color w:val="000000"/>
                <w:sz w:val="21"/>
                <w:szCs w:val="21"/>
              </w:rPr>
              <w:t>级</w:t>
            </w:r>
          </w:p>
        </w:tc>
        <w:tc>
          <w:tcPr>
            <w:tcW w:w="6314" w:type="dxa"/>
            <w:noWrap w:val="0"/>
            <w:vAlign w:val="top"/>
          </w:tcPr>
          <w:p w14:paraId="397843C5">
            <w:pPr>
              <w:pStyle w:val="17"/>
              <w:spacing w:before="58" w:line="211" w:lineRule="auto"/>
              <w:jc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病斑面积占整个叶面或根部横切面的0%-15%</w:t>
            </w:r>
          </w:p>
        </w:tc>
      </w:tr>
      <w:tr w14:paraId="725200A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05" w:hRule="atLeast"/>
          <w:jc w:val="right"/>
        </w:trPr>
        <w:tc>
          <w:tcPr>
            <w:tcW w:w="1995" w:type="dxa"/>
            <w:noWrap w:val="0"/>
            <w:vAlign w:val="top"/>
          </w:tcPr>
          <w:p w14:paraId="3550AB20">
            <w:pPr>
              <w:pStyle w:val="17"/>
              <w:spacing w:before="61" w:line="208" w:lineRule="auto"/>
              <w:jc w:val="center"/>
              <w:rPr>
                <w:rFonts w:hint="eastAsia" w:ascii="仿宋" w:hAnsi="仿宋" w:eastAsia="仿宋" w:cs="仿宋"/>
                <w:color w:val="000000"/>
                <w:sz w:val="21"/>
                <w:szCs w:val="21"/>
              </w:rPr>
            </w:pPr>
            <w:r>
              <w:rPr>
                <w:rFonts w:hint="eastAsia" w:ascii="仿宋" w:hAnsi="仿宋" w:eastAsia="仿宋" w:cs="仿宋"/>
                <w:color w:val="000000"/>
                <w:spacing w:val="-3"/>
                <w:sz w:val="21"/>
                <w:szCs w:val="21"/>
                <w:lang w:val="en-US" w:eastAsia="zh-CN"/>
              </w:rPr>
              <w:t>2</w:t>
            </w:r>
            <w:r>
              <w:rPr>
                <w:rFonts w:hint="eastAsia" w:ascii="仿宋" w:hAnsi="仿宋" w:eastAsia="仿宋" w:cs="仿宋"/>
                <w:color w:val="000000"/>
                <w:spacing w:val="-3"/>
                <w:sz w:val="21"/>
                <w:szCs w:val="21"/>
              </w:rPr>
              <w:t>级</w:t>
            </w:r>
          </w:p>
        </w:tc>
        <w:tc>
          <w:tcPr>
            <w:tcW w:w="6314" w:type="dxa"/>
            <w:noWrap w:val="0"/>
            <w:vAlign w:val="top"/>
          </w:tcPr>
          <w:p w14:paraId="42BFC784">
            <w:pPr>
              <w:pStyle w:val="17"/>
              <w:spacing w:before="61" w:line="208" w:lineRule="auto"/>
              <w:jc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病斑面积占整个叶面或根部横切面的16%-30%</w:t>
            </w:r>
          </w:p>
        </w:tc>
      </w:tr>
      <w:tr w14:paraId="43BEDBC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97" w:hRule="atLeast"/>
          <w:jc w:val="right"/>
        </w:trPr>
        <w:tc>
          <w:tcPr>
            <w:tcW w:w="1995" w:type="dxa"/>
            <w:noWrap w:val="0"/>
            <w:vAlign w:val="top"/>
          </w:tcPr>
          <w:p w14:paraId="073E3C58">
            <w:pPr>
              <w:pStyle w:val="17"/>
              <w:spacing w:before="64" w:line="204" w:lineRule="auto"/>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3</w:t>
            </w:r>
            <w:r>
              <w:rPr>
                <w:rFonts w:hint="eastAsia" w:ascii="仿宋" w:hAnsi="仿宋" w:eastAsia="仿宋" w:cs="仿宋"/>
                <w:color w:val="000000"/>
                <w:sz w:val="21"/>
                <w:szCs w:val="21"/>
              </w:rPr>
              <w:t>级</w:t>
            </w:r>
          </w:p>
        </w:tc>
        <w:tc>
          <w:tcPr>
            <w:tcW w:w="6314" w:type="dxa"/>
            <w:noWrap w:val="0"/>
            <w:vAlign w:val="top"/>
          </w:tcPr>
          <w:p w14:paraId="3A10967C">
            <w:pPr>
              <w:pStyle w:val="17"/>
              <w:spacing w:before="64" w:line="204" w:lineRule="auto"/>
              <w:jc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病斑面积占整个叶面或根部横切面的31%-50%</w:t>
            </w:r>
          </w:p>
        </w:tc>
      </w:tr>
      <w:tr w14:paraId="556AE9F1">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96" w:hRule="atLeast"/>
          <w:jc w:val="right"/>
        </w:trPr>
        <w:tc>
          <w:tcPr>
            <w:tcW w:w="1995" w:type="dxa"/>
            <w:noWrap w:val="0"/>
            <w:vAlign w:val="top"/>
          </w:tcPr>
          <w:p w14:paraId="1551022A">
            <w:pPr>
              <w:pStyle w:val="17"/>
              <w:spacing w:before="69" w:line="214" w:lineRule="auto"/>
              <w:jc w:val="center"/>
              <w:rPr>
                <w:rFonts w:hint="eastAsia" w:ascii="仿宋" w:hAnsi="仿宋" w:eastAsia="仿宋" w:cs="仿宋"/>
                <w:color w:val="000000"/>
                <w:sz w:val="21"/>
                <w:szCs w:val="21"/>
              </w:rPr>
            </w:pPr>
            <w:r>
              <w:rPr>
                <w:rFonts w:hint="eastAsia" w:ascii="仿宋" w:hAnsi="仿宋" w:eastAsia="仿宋" w:cs="仿宋"/>
                <w:color w:val="000000"/>
                <w:spacing w:val="-3"/>
                <w:sz w:val="21"/>
                <w:szCs w:val="21"/>
                <w:lang w:val="en-US" w:eastAsia="zh-CN"/>
              </w:rPr>
              <w:t>4</w:t>
            </w:r>
            <w:r>
              <w:rPr>
                <w:rFonts w:hint="eastAsia" w:ascii="仿宋" w:hAnsi="仿宋" w:eastAsia="仿宋" w:cs="仿宋"/>
                <w:color w:val="000000"/>
                <w:spacing w:val="-3"/>
                <w:sz w:val="21"/>
                <w:szCs w:val="21"/>
              </w:rPr>
              <w:t>级</w:t>
            </w:r>
          </w:p>
        </w:tc>
        <w:tc>
          <w:tcPr>
            <w:tcW w:w="6314" w:type="dxa"/>
            <w:noWrap w:val="0"/>
            <w:vAlign w:val="top"/>
          </w:tcPr>
          <w:p w14:paraId="21371000">
            <w:pPr>
              <w:pStyle w:val="17"/>
              <w:spacing w:before="69" w:line="214" w:lineRule="auto"/>
              <w:jc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病斑面积占整个叶面或根部横切面的51%-65%</w:t>
            </w:r>
          </w:p>
        </w:tc>
      </w:tr>
      <w:tr w14:paraId="7950294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96" w:hRule="atLeast"/>
          <w:jc w:val="right"/>
        </w:trPr>
        <w:tc>
          <w:tcPr>
            <w:tcW w:w="1995" w:type="dxa"/>
            <w:noWrap w:val="0"/>
            <w:vAlign w:val="top"/>
          </w:tcPr>
          <w:p w14:paraId="43E483AF">
            <w:pPr>
              <w:pStyle w:val="17"/>
              <w:spacing w:before="69" w:line="214" w:lineRule="auto"/>
              <w:jc w:val="center"/>
              <w:rPr>
                <w:rFonts w:hint="eastAsia" w:ascii="仿宋" w:hAnsi="仿宋" w:eastAsia="仿宋" w:cs="仿宋"/>
                <w:color w:val="000000"/>
                <w:spacing w:val="-3"/>
                <w:sz w:val="21"/>
                <w:szCs w:val="21"/>
                <w:lang w:val="en-US" w:eastAsia="zh-CN"/>
              </w:rPr>
            </w:pPr>
            <w:r>
              <w:rPr>
                <w:rFonts w:hint="eastAsia" w:ascii="仿宋" w:hAnsi="仿宋" w:eastAsia="仿宋" w:cs="仿宋"/>
                <w:color w:val="000000"/>
                <w:spacing w:val="-3"/>
                <w:sz w:val="21"/>
                <w:szCs w:val="21"/>
                <w:lang w:val="en-US" w:eastAsia="zh-CN"/>
              </w:rPr>
              <w:t>5 级</w:t>
            </w:r>
          </w:p>
        </w:tc>
        <w:tc>
          <w:tcPr>
            <w:tcW w:w="6314" w:type="dxa"/>
            <w:noWrap w:val="0"/>
            <w:vAlign w:val="top"/>
          </w:tcPr>
          <w:p w14:paraId="51F1FEA9">
            <w:pPr>
              <w:pStyle w:val="17"/>
              <w:spacing w:before="69" w:line="214" w:lineRule="auto"/>
              <w:jc w:val="center"/>
              <w:rPr>
                <w:rFonts w:hint="eastAsia" w:ascii="仿宋" w:hAnsi="仿宋" w:eastAsia="仿宋" w:cs="仿宋"/>
                <w:color w:val="000000"/>
                <w:sz w:val="21"/>
                <w:szCs w:val="21"/>
                <w:lang w:val="en-US" w:eastAsia="zh-CN"/>
              </w:rPr>
            </w:pPr>
            <w:bookmarkStart w:id="4" w:name="OLE_LINK40"/>
            <w:r>
              <w:rPr>
                <w:rFonts w:hint="eastAsia" w:ascii="仿宋" w:hAnsi="仿宋" w:eastAsia="仿宋" w:cs="仿宋"/>
                <w:color w:val="000000"/>
                <w:sz w:val="21"/>
                <w:szCs w:val="21"/>
                <w:lang w:val="en-US" w:eastAsia="zh-CN"/>
              </w:rPr>
              <w:t>病斑面积占整个叶面或根部横切面的</w:t>
            </w:r>
            <w:bookmarkStart w:id="5" w:name="OLE_LINK34"/>
            <w:r>
              <w:rPr>
                <w:rFonts w:hint="eastAsia" w:ascii="仿宋" w:hAnsi="仿宋" w:eastAsia="仿宋" w:cs="仿宋"/>
                <w:color w:val="000000"/>
                <w:sz w:val="21"/>
                <w:szCs w:val="21"/>
                <w:lang w:val="en-US" w:eastAsia="zh-CN"/>
              </w:rPr>
              <w:t>66-80%</w:t>
            </w:r>
            <w:bookmarkEnd w:id="4"/>
            <w:bookmarkEnd w:id="5"/>
          </w:p>
        </w:tc>
      </w:tr>
      <w:tr w14:paraId="5F8D99A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96" w:hRule="atLeast"/>
          <w:jc w:val="right"/>
        </w:trPr>
        <w:tc>
          <w:tcPr>
            <w:tcW w:w="1995" w:type="dxa"/>
            <w:tcBorders>
              <w:bottom w:val="single" w:color="000000" w:sz="10" w:space="0"/>
            </w:tcBorders>
            <w:noWrap w:val="0"/>
            <w:vAlign w:val="top"/>
          </w:tcPr>
          <w:p w14:paraId="0BC12377">
            <w:pPr>
              <w:pStyle w:val="17"/>
              <w:spacing w:before="69" w:line="214" w:lineRule="auto"/>
              <w:jc w:val="center"/>
              <w:rPr>
                <w:rFonts w:hint="eastAsia" w:ascii="仿宋" w:hAnsi="仿宋" w:eastAsia="仿宋" w:cs="仿宋"/>
                <w:color w:val="000000"/>
                <w:spacing w:val="-3"/>
                <w:sz w:val="21"/>
                <w:szCs w:val="21"/>
                <w:lang w:val="en-US" w:eastAsia="zh-CN"/>
              </w:rPr>
            </w:pPr>
            <w:r>
              <w:rPr>
                <w:rFonts w:hint="eastAsia" w:ascii="仿宋" w:hAnsi="仿宋" w:eastAsia="仿宋" w:cs="仿宋"/>
                <w:color w:val="000000"/>
                <w:spacing w:val="-3"/>
                <w:sz w:val="21"/>
                <w:szCs w:val="21"/>
                <w:lang w:val="en-US" w:eastAsia="zh-CN"/>
              </w:rPr>
              <w:t>6 级</w:t>
            </w:r>
          </w:p>
        </w:tc>
        <w:tc>
          <w:tcPr>
            <w:tcW w:w="6314" w:type="dxa"/>
            <w:tcBorders>
              <w:bottom w:val="single" w:color="000000" w:sz="10" w:space="0"/>
            </w:tcBorders>
            <w:noWrap w:val="0"/>
            <w:vAlign w:val="top"/>
          </w:tcPr>
          <w:p w14:paraId="69FA1A73">
            <w:pPr>
              <w:pStyle w:val="17"/>
              <w:spacing w:before="69" w:line="214" w:lineRule="auto"/>
              <w:jc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病斑面积占整个叶面或根部横切面的81%以上</w:t>
            </w:r>
          </w:p>
        </w:tc>
      </w:tr>
    </w:tbl>
    <w:p w14:paraId="2220AB7F">
      <w:pPr>
        <w:spacing w:line="360" w:lineRule="auto"/>
        <w:ind w:firstLine="640" w:firstLineChars="200"/>
        <w:rPr>
          <w:rFonts w:hint="eastAsia" w:ascii="仿宋_GB2312" w:hAnsi="宋体" w:eastAsia="仿宋_GB2312" w:cs="Times New Roman"/>
          <w:kern w:val="0"/>
          <w:sz w:val="32"/>
          <w:szCs w:val="32"/>
          <w:lang w:val="en-US" w:eastAsia="zh-CN"/>
        </w:rPr>
      </w:pPr>
      <w:r>
        <w:rPr>
          <w:rFonts w:hint="eastAsia" w:ascii="仿宋_GB2312" w:hAnsi="宋体" w:eastAsia="仿宋_GB2312" w:cs="Times New Roman"/>
          <w:kern w:val="0"/>
          <w:sz w:val="32"/>
          <w:szCs w:val="32"/>
          <w:lang w:val="en-US" w:eastAsia="zh-CN"/>
        </w:rPr>
        <w:t>调查和记载每份鉴定材料的病情等级，按公式（1）计算病情指数。计算结果取3次重复的平均值。</w:t>
      </w:r>
    </w:p>
    <w:p w14:paraId="1B99B5AC">
      <w:pPr>
        <w:spacing w:line="360" w:lineRule="auto"/>
        <w:ind w:firstLine="640" w:firstLineChars="200"/>
        <w:rPr>
          <w:rFonts w:hint="eastAsia" w:ascii="仿宋_GB2312" w:hAnsi="宋体" w:eastAsia="仿宋_GB2312" w:cs="Times New Roman"/>
          <w:kern w:val="0"/>
          <w:sz w:val="32"/>
          <w:szCs w:val="32"/>
          <w:lang w:val="en-US" w:eastAsia="zh-CN"/>
        </w:rPr>
      </w:pPr>
      <w:r>
        <w:rPr>
          <w:rFonts w:hint="eastAsia" w:ascii="仿宋_GB2312" w:hAnsi="宋体" w:eastAsia="仿宋_GB2312" w:cs="Times New Roman"/>
          <w:kern w:val="0"/>
          <w:sz w:val="32"/>
          <w:szCs w:val="32"/>
          <w:lang w:val="en-US" w:eastAsia="zh-CN"/>
        </w:rPr>
        <w:t>病情指数（I)=∑（对应级数值×各级病株数）/（最高级数值×调查总株数）×100            （1）</w:t>
      </w:r>
    </w:p>
    <w:p w14:paraId="6FEACD7D">
      <w:pPr>
        <w:spacing w:line="360" w:lineRule="auto"/>
        <w:ind w:firstLine="640" w:firstLineChars="200"/>
        <w:rPr>
          <w:rFonts w:hint="default" w:ascii="仿宋_GB2312" w:hAnsi="宋体" w:eastAsia="仿宋_GB2312" w:cs="Times New Roman"/>
          <w:kern w:val="0"/>
          <w:sz w:val="32"/>
          <w:szCs w:val="32"/>
          <w:lang w:val="en-US" w:eastAsia="zh-CN"/>
        </w:rPr>
      </w:pPr>
      <w:r>
        <w:rPr>
          <w:rFonts w:hint="eastAsia" w:ascii="仿宋_GB2312" w:hAnsi="宋体" w:eastAsia="仿宋_GB2312" w:cs="Times New Roman"/>
          <w:kern w:val="0"/>
          <w:sz w:val="32"/>
          <w:szCs w:val="32"/>
          <w:lang w:val="en-US" w:eastAsia="zh-CN"/>
        </w:rPr>
        <w:t>发病率=发病株数/总调查株数×100 %。   （2）</w:t>
      </w:r>
    </w:p>
    <w:p w14:paraId="6A9C3794">
      <w:pPr>
        <w:spacing w:line="360" w:lineRule="auto"/>
        <w:ind w:firstLine="640" w:firstLineChars="200"/>
        <w:rPr>
          <w:rFonts w:hint="eastAsia" w:ascii="仿宋_GB2312" w:hAnsi="宋体" w:eastAsia="仿宋_GB2312" w:cs="Times New Roman"/>
          <w:kern w:val="0"/>
          <w:sz w:val="32"/>
          <w:szCs w:val="32"/>
          <w:lang w:val="en-US" w:eastAsia="zh-CN"/>
        </w:rPr>
      </w:pPr>
      <w:r>
        <w:rPr>
          <w:rFonts w:hint="eastAsia" w:ascii="仿宋_GB2312" w:hAnsi="宋体" w:eastAsia="仿宋_GB2312" w:cs="Times New Roman"/>
          <w:kern w:val="0"/>
          <w:sz w:val="32"/>
          <w:szCs w:val="32"/>
          <w:lang w:val="en-US" w:eastAsia="zh-CN"/>
        </w:rPr>
        <w:t>白菜黄萎病病害抗性鉴定评价分级标准见表2。</w:t>
      </w:r>
    </w:p>
    <w:p w14:paraId="3C5ADAF2">
      <w:pPr>
        <w:pStyle w:val="4"/>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eastAsia" w:ascii="仿宋" w:hAnsi="仿宋" w:eastAsia="仿宋" w:cs="仿宋"/>
          <w:b w:val="0"/>
          <w:bCs w:val="0"/>
          <w:spacing w:val="-1"/>
          <w:sz w:val="28"/>
          <w:szCs w:val="28"/>
          <w:lang w:val="en-US" w:eastAsia="zh-CN"/>
        </w:rPr>
      </w:pPr>
      <w:r>
        <w:rPr>
          <w:rFonts w:hint="eastAsia" w:ascii="仿宋" w:hAnsi="仿宋" w:eastAsia="仿宋" w:cs="仿宋"/>
          <w:b w:val="0"/>
          <w:bCs w:val="0"/>
          <w:spacing w:val="-1"/>
          <w:sz w:val="28"/>
          <w:szCs w:val="28"/>
          <w:lang w:val="en-US" w:eastAsia="zh-CN"/>
        </w:rPr>
        <w:t>表2 白菜黄萎病病害抗性分级评价标准</w:t>
      </w:r>
    </w:p>
    <w:tbl>
      <w:tblPr>
        <w:tblStyle w:val="18"/>
        <w:tblW w:w="8439"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958"/>
        <w:gridCol w:w="4481"/>
      </w:tblGrid>
      <w:tr w14:paraId="65658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5" w:hRule="atLeast"/>
          <w:jc w:val="center"/>
        </w:trPr>
        <w:tc>
          <w:tcPr>
            <w:tcW w:w="3958" w:type="dxa"/>
            <w:tcBorders>
              <w:top w:val="single" w:color="000000" w:sz="12" w:space="0"/>
              <w:left w:val="nil"/>
              <w:bottom w:val="single" w:color="000000" w:sz="8" w:space="0"/>
              <w:right w:val="nil"/>
            </w:tcBorders>
            <w:noWrap w:val="0"/>
            <w:vAlign w:val="center"/>
          </w:tcPr>
          <w:p w14:paraId="62B0900D">
            <w:pPr>
              <w:pStyle w:val="17"/>
              <w:spacing w:before="69" w:line="214" w:lineRule="auto"/>
              <w:ind w:firstLine="1470" w:firstLineChars="700"/>
              <w:jc w:val="both"/>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病情级别</w:t>
            </w:r>
          </w:p>
        </w:tc>
        <w:tc>
          <w:tcPr>
            <w:tcW w:w="4481" w:type="dxa"/>
            <w:tcBorders>
              <w:top w:val="single" w:color="000000" w:sz="12" w:space="0"/>
              <w:left w:val="nil"/>
              <w:bottom w:val="single" w:color="000000" w:sz="8" w:space="0"/>
              <w:right w:val="nil"/>
            </w:tcBorders>
            <w:noWrap w:val="0"/>
            <w:vAlign w:val="center"/>
          </w:tcPr>
          <w:p w14:paraId="0D96431A">
            <w:pPr>
              <w:pStyle w:val="17"/>
              <w:spacing w:before="69" w:line="214" w:lineRule="auto"/>
              <w:ind w:firstLine="1470" w:firstLineChars="700"/>
              <w:jc w:val="both"/>
              <w:rPr>
                <w:rFonts w:hint="eastAsia" w:ascii="仿宋" w:hAnsi="仿宋" w:eastAsia="仿宋" w:cs="仿宋"/>
                <w:color w:val="000000"/>
                <w:sz w:val="21"/>
                <w:szCs w:val="21"/>
                <w:lang w:val="en-US" w:eastAsia="zh-CN"/>
              </w:rPr>
            </w:pPr>
            <w:r>
              <w:rPr>
                <w:rFonts w:hint="eastAsia" w:ascii="Times New Roman" w:hAnsi="Times New Roman" w:eastAsia="宋体" w:cs="Times New Roman"/>
                <w:sz w:val="21"/>
                <w:szCs w:val="21"/>
                <w:lang w:eastAsia="zh-CN"/>
              </w:rPr>
              <w:t>病情指数（</w:t>
            </w:r>
            <w:r>
              <w:rPr>
                <w:rFonts w:hint="eastAsia" w:ascii="Times New Roman" w:hAnsi="Times New Roman" w:eastAsia="宋体" w:cs="Times New Roman"/>
                <w:sz w:val="21"/>
                <w:szCs w:val="21"/>
                <w:lang w:val="en-US" w:eastAsia="zh-CN"/>
              </w:rPr>
              <w:t>DI）</w:t>
            </w:r>
          </w:p>
        </w:tc>
      </w:tr>
      <w:tr w14:paraId="0EC77A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3" w:hRule="atLeast"/>
          <w:jc w:val="center"/>
        </w:trPr>
        <w:tc>
          <w:tcPr>
            <w:tcW w:w="3958" w:type="dxa"/>
            <w:tcBorders>
              <w:top w:val="single" w:color="000000" w:sz="8" w:space="0"/>
              <w:left w:val="nil"/>
              <w:bottom w:val="nil"/>
              <w:right w:val="nil"/>
            </w:tcBorders>
            <w:noWrap w:val="0"/>
            <w:vAlign w:val="center"/>
          </w:tcPr>
          <w:p w14:paraId="6E623E12">
            <w:pPr>
              <w:pStyle w:val="12"/>
              <w:ind w:firstLine="412" w:firstLineChars="200"/>
              <w:jc w:val="center"/>
              <w:rPr>
                <w:rFonts w:hint="eastAsia" w:ascii="仿宋" w:hAnsi="仿宋" w:eastAsia="仿宋" w:cs="仿宋"/>
                <w:color w:val="000000"/>
                <w:sz w:val="21"/>
                <w:szCs w:val="21"/>
                <w:lang w:val="en-US" w:eastAsia="zh-CN"/>
              </w:rPr>
            </w:pPr>
            <w:r>
              <w:rPr>
                <w:rFonts w:hint="eastAsia" w:ascii="Times New Roman" w:hAnsi="Times New Roman" w:eastAsia="宋体" w:cs="Times New Roman"/>
                <w:spacing w:val="-2"/>
                <w:lang w:val="en-US" w:eastAsia="zh-CN"/>
              </w:rPr>
              <w:t>免疫（I</w:t>
            </w:r>
            <w:r>
              <w:rPr>
                <w:rFonts w:hint="eastAsia" w:ascii="Times New Roman" w:cs="Times New Roman"/>
                <w:spacing w:val="-2"/>
                <w:lang w:val="en-US" w:eastAsia="zh-CN"/>
              </w:rPr>
              <w:t>M</w:t>
            </w:r>
            <w:r>
              <w:rPr>
                <w:rFonts w:hint="eastAsia" w:ascii="Times New Roman" w:hAnsi="Times New Roman" w:eastAsia="宋体" w:cs="Times New Roman"/>
                <w:spacing w:val="-2"/>
                <w:lang w:val="en-US" w:eastAsia="zh-CN"/>
              </w:rPr>
              <w:t>）</w:t>
            </w:r>
          </w:p>
        </w:tc>
        <w:tc>
          <w:tcPr>
            <w:tcW w:w="4481" w:type="dxa"/>
            <w:tcBorders>
              <w:top w:val="single" w:color="000000" w:sz="8" w:space="0"/>
              <w:left w:val="nil"/>
              <w:bottom w:val="nil"/>
              <w:right w:val="nil"/>
            </w:tcBorders>
            <w:noWrap w:val="0"/>
            <w:vAlign w:val="center"/>
          </w:tcPr>
          <w:p w14:paraId="33B7A39F">
            <w:pPr>
              <w:pStyle w:val="12"/>
              <w:ind w:firstLine="412" w:firstLineChars="200"/>
              <w:jc w:val="center"/>
              <w:rPr>
                <w:rFonts w:hint="eastAsia" w:ascii="仿宋" w:hAnsi="仿宋" w:eastAsia="仿宋" w:cs="仿宋"/>
                <w:color w:val="000000"/>
                <w:sz w:val="21"/>
                <w:szCs w:val="21"/>
                <w:lang w:val="en-US" w:eastAsia="zh-CN"/>
              </w:rPr>
            </w:pPr>
            <w:r>
              <w:rPr>
                <w:rFonts w:hint="eastAsia" w:ascii="Times New Roman" w:hAnsi="Times New Roman" w:eastAsia="宋体" w:cs="Times New Roman"/>
                <w:spacing w:val="-2"/>
                <w:lang w:val="en-US" w:eastAsia="zh-CN"/>
              </w:rPr>
              <w:t>DI=0.00</w:t>
            </w:r>
          </w:p>
        </w:tc>
      </w:tr>
      <w:tr w14:paraId="54DE2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5" w:hRule="atLeast"/>
          <w:jc w:val="center"/>
        </w:trPr>
        <w:tc>
          <w:tcPr>
            <w:tcW w:w="3958" w:type="dxa"/>
            <w:tcBorders>
              <w:top w:val="nil"/>
              <w:left w:val="nil"/>
              <w:bottom w:val="nil"/>
              <w:right w:val="nil"/>
            </w:tcBorders>
            <w:noWrap w:val="0"/>
            <w:vAlign w:val="center"/>
          </w:tcPr>
          <w:p w14:paraId="47C7791F">
            <w:pPr>
              <w:pStyle w:val="12"/>
              <w:ind w:firstLine="412" w:firstLineChars="200"/>
              <w:jc w:val="center"/>
              <w:rPr>
                <w:rFonts w:hint="eastAsia" w:ascii="仿宋" w:hAnsi="仿宋" w:eastAsia="仿宋" w:cs="仿宋"/>
                <w:color w:val="000000"/>
                <w:sz w:val="21"/>
                <w:szCs w:val="21"/>
                <w:lang w:val="en-US" w:eastAsia="zh-CN"/>
              </w:rPr>
            </w:pPr>
            <w:r>
              <w:rPr>
                <w:rFonts w:hint="eastAsia" w:ascii="Times New Roman" w:hAnsi="Times New Roman" w:eastAsia="宋体" w:cs="Times New Roman"/>
                <w:spacing w:val="-2"/>
                <w:lang w:val="en-US" w:eastAsia="zh-CN"/>
              </w:rPr>
              <w:t>高抗（HR）</w:t>
            </w:r>
          </w:p>
        </w:tc>
        <w:tc>
          <w:tcPr>
            <w:tcW w:w="4481" w:type="dxa"/>
            <w:tcBorders>
              <w:top w:val="nil"/>
              <w:left w:val="nil"/>
              <w:bottom w:val="nil"/>
              <w:right w:val="nil"/>
            </w:tcBorders>
            <w:noWrap w:val="0"/>
            <w:vAlign w:val="center"/>
          </w:tcPr>
          <w:p w14:paraId="45372F2F">
            <w:pPr>
              <w:pStyle w:val="12"/>
              <w:ind w:firstLine="412" w:firstLineChars="200"/>
              <w:jc w:val="center"/>
              <w:rPr>
                <w:rFonts w:hint="eastAsia" w:ascii="仿宋" w:hAnsi="仿宋" w:eastAsia="仿宋" w:cs="仿宋"/>
                <w:color w:val="000000"/>
                <w:sz w:val="21"/>
                <w:szCs w:val="21"/>
                <w:lang w:val="en-US" w:eastAsia="zh-CN"/>
              </w:rPr>
            </w:pPr>
            <w:r>
              <w:rPr>
                <w:rFonts w:hint="eastAsia" w:ascii="Times New Roman" w:hAnsi="Times New Roman" w:eastAsia="宋体" w:cs="Times New Roman"/>
                <w:spacing w:val="-2"/>
                <w:lang w:val="en-US" w:eastAsia="zh-CN"/>
              </w:rPr>
              <w:t>0＜DI≤1</w:t>
            </w:r>
            <w:r>
              <w:rPr>
                <w:rFonts w:hint="eastAsia" w:ascii="Times New Roman" w:cs="Times New Roman"/>
                <w:spacing w:val="-2"/>
                <w:lang w:val="en-US" w:eastAsia="zh-CN"/>
              </w:rPr>
              <w:t>0</w:t>
            </w:r>
          </w:p>
        </w:tc>
      </w:tr>
      <w:tr w14:paraId="19FEB9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5" w:hRule="atLeast"/>
          <w:jc w:val="center"/>
        </w:trPr>
        <w:tc>
          <w:tcPr>
            <w:tcW w:w="3958" w:type="dxa"/>
            <w:tcBorders>
              <w:top w:val="nil"/>
              <w:left w:val="nil"/>
              <w:bottom w:val="nil"/>
              <w:right w:val="nil"/>
            </w:tcBorders>
            <w:noWrap w:val="0"/>
            <w:vAlign w:val="center"/>
          </w:tcPr>
          <w:p w14:paraId="67F64CB7">
            <w:pPr>
              <w:pStyle w:val="12"/>
              <w:ind w:firstLine="412" w:firstLineChars="200"/>
              <w:jc w:val="center"/>
              <w:rPr>
                <w:rFonts w:hint="eastAsia" w:ascii="仿宋" w:hAnsi="仿宋" w:eastAsia="仿宋" w:cs="仿宋"/>
                <w:color w:val="000000"/>
                <w:sz w:val="21"/>
                <w:szCs w:val="21"/>
                <w:lang w:val="en-US" w:eastAsia="zh-CN"/>
              </w:rPr>
            </w:pPr>
            <w:r>
              <w:rPr>
                <w:rFonts w:hint="eastAsia" w:ascii="Times New Roman" w:hAnsi="Times New Roman" w:eastAsia="宋体" w:cs="Times New Roman"/>
                <w:spacing w:val="-2"/>
                <w:lang w:val="en-US" w:eastAsia="zh-CN"/>
              </w:rPr>
              <w:t>抗病（R）</w:t>
            </w:r>
          </w:p>
        </w:tc>
        <w:tc>
          <w:tcPr>
            <w:tcW w:w="4481" w:type="dxa"/>
            <w:tcBorders>
              <w:top w:val="nil"/>
              <w:left w:val="nil"/>
              <w:bottom w:val="nil"/>
              <w:right w:val="nil"/>
            </w:tcBorders>
            <w:noWrap w:val="0"/>
            <w:vAlign w:val="center"/>
          </w:tcPr>
          <w:p w14:paraId="019ADCFB">
            <w:pPr>
              <w:pStyle w:val="12"/>
              <w:ind w:firstLine="412" w:firstLineChars="200"/>
              <w:jc w:val="center"/>
              <w:rPr>
                <w:rFonts w:hint="default" w:ascii="仿宋" w:hAnsi="仿宋" w:eastAsia="仿宋" w:cs="仿宋"/>
                <w:color w:val="000000"/>
                <w:sz w:val="21"/>
                <w:szCs w:val="21"/>
                <w:lang w:val="en-US" w:eastAsia="zh-CN"/>
              </w:rPr>
            </w:pPr>
            <w:r>
              <w:rPr>
                <w:rFonts w:hint="eastAsia" w:ascii="Times New Roman" w:hAnsi="Times New Roman" w:eastAsia="宋体" w:cs="Times New Roman"/>
                <w:spacing w:val="-2"/>
                <w:lang w:val="en-US" w:eastAsia="zh-CN"/>
              </w:rPr>
              <w:t>1</w:t>
            </w:r>
            <w:r>
              <w:rPr>
                <w:rFonts w:hint="eastAsia" w:ascii="Times New Roman" w:cs="Times New Roman"/>
                <w:spacing w:val="-2"/>
                <w:lang w:val="en-US" w:eastAsia="zh-CN"/>
              </w:rPr>
              <w:t>0</w:t>
            </w:r>
            <w:r>
              <w:rPr>
                <w:rFonts w:hint="eastAsia" w:ascii="Times New Roman" w:hAnsi="Times New Roman" w:eastAsia="宋体" w:cs="Times New Roman"/>
                <w:spacing w:val="-2"/>
                <w:lang w:val="en-US" w:eastAsia="zh-CN"/>
              </w:rPr>
              <w:t>＜DI≤3</w:t>
            </w:r>
            <w:r>
              <w:rPr>
                <w:rFonts w:hint="eastAsia" w:ascii="Times New Roman" w:cs="Times New Roman"/>
                <w:spacing w:val="-2"/>
                <w:lang w:val="en-US" w:eastAsia="zh-CN"/>
              </w:rPr>
              <w:t>5</w:t>
            </w:r>
          </w:p>
        </w:tc>
      </w:tr>
      <w:tr w14:paraId="4F5F2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5" w:hRule="atLeast"/>
          <w:jc w:val="center"/>
        </w:trPr>
        <w:tc>
          <w:tcPr>
            <w:tcW w:w="3958" w:type="dxa"/>
            <w:tcBorders>
              <w:top w:val="nil"/>
              <w:left w:val="nil"/>
              <w:bottom w:val="nil"/>
              <w:right w:val="nil"/>
            </w:tcBorders>
            <w:noWrap w:val="0"/>
            <w:vAlign w:val="center"/>
          </w:tcPr>
          <w:p w14:paraId="0BA4342C">
            <w:pPr>
              <w:pStyle w:val="12"/>
              <w:ind w:firstLine="412" w:firstLineChars="200"/>
              <w:jc w:val="center"/>
              <w:rPr>
                <w:rFonts w:hint="eastAsia" w:ascii="仿宋" w:hAnsi="仿宋" w:eastAsia="仿宋" w:cs="仿宋"/>
                <w:color w:val="000000"/>
                <w:sz w:val="21"/>
                <w:szCs w:val="21"/>
                <w:lang w:val="en-US" w:eastAsia="zh-CN"/>
              </w:rPr>
            </w:pPr>
            <w:r>
              <w:rPr>
                <w:rFonts w:hint="eastAsia" w:ascii="Times New Roman" w:hAnsi="Times New Roman" w:eastAsia="宋体" w:cs="Times New Roman"/>
                <w:spacing w:val="-2"/>
                <w:lang w:val="en-US" w:eastAsia="zh-CN"/>
              </w:rPr>
              <w:t>中抗（MR）</w:t>
            </w:r>
          </w:p>
        </w:tc>
        <w:tc>
          <w:tcPr>
            <w:tcW w:w="4481" w:type="dxa"/>
            <w:tcBorders>
              <w:top w:val="nil"/>
              <w:left w:val="nil"/>
              <w:bottom w:val="nil"/>
              <w:right w:val="nil"/>
            </w:tcBorders>
            <w:noWrap w:val="0"/>
            <w:vAlign w:val="center"/>
          </w:tcPr>
          <w:p w14:paraId="441B985A">
            <w:pPr>
              <w:pStyle w:val="12"/>
              <w:ind w:firstLine="412" w:firstLineChars="200"/>
              <w:jc w:val="center"/>
              <w:rPr>
                <w:rFonts w:hint="default" w:ascii="仿宋" w:hAnsi="仿宋" w:eastAsia="仿宋" w:cs="仿宋"/>
                <w:color w:val="000000"/>
                <w:sz w:val="21"/>
                <w:szCs w:val="21"/>
                <w:lang w:val="en-US" w:eastAsia="zh-CN"/>
              </w:rPr>
            </w:pPr>
            <w:r>
              <w:rPr>
                <w:rFonts w:hint="eastAsia" w:ascii="Times New Roman" w:hAnsi="Times New Roman" w:eastAsia="宋体" w:cs="Times New Roman"/>
                <w:spacing w:val="-2"/>
                <w:lang w:val="en-US" w:eastAsia="zh-CN"/>
              </w:rPr>
              <w:t>3</w:t>
            </w:r>
            <w:r>
              <w:rPr>
                <w:rFonts w:hint="eastAsia" w:ascii="Times New Roman" w:cs="Times New Roman"/>
                <w:spacing w:val="-2"/>
                <w:lang w:val="en-US" w:eastAsia="zh-CN"/>
              </w:rPr>
              <w:t>5</w:t>
            </w:r>
            <w:r>
              <w:rPr>
                <w:rFonts w:hint="eastAsia" w:ascii="Times New Roman" w:hAnsi="Times New Roman" w:eastAsia="宋体" w:cs="Times New Roman"/>
                <w:spacing w:val="-2"/>
                <w:lang w:val="en-US" w:eastAsia="zh-CN"/>
              </w:rPr>
              <w:t>＜DI≤</w:t>
            </w:r>
            <w:r>
              <w:rPr>
                <w:rFonts w:hint="eastAsia" w:ascii="Times New Roman" w:cs="Times New Roman"/>
                <w:spacing w:val="-2"/>
                <w:lang w:val="en-US" w:eastAsia="zh-CN"/>
              </w:rPr>
              <w:t>5</w:t>
            </w:r>
            <w:r>
              <w:rPr>
                <w:rFonts w:hint="eastAsia" w:ascii="Times New Roman" w:hAnsi="Times New Roman" w:eastAsia="宋体" w:cs="Times New Roman"/>
                <w:spacing w:val="-2"/>
                <w:lang w:val="en-US" w:eastAsia="zh-CN"/>
              </w:rPr>
              <w:t>5</w:t>
            </w:r>
          </w:p>
        </w:tc>
      </w:tr>
      <w:tr w14:paraId="31953B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7" w:hRule="atLeast"/>
          <w:jc w:val="center"/>
        </w:trPr>
        <w:tc>
          <w:tcPr>
            <w:tcW w:w="3958" w:type="dxa"/>
            <w:tcBorders>
              <w:top w:val="nil"/>
              <w:left w:val="nil"/>
              <w:bottom w:val="nil"/>
              <w:right w:val="nil"/>
            </w:tcBorders>
            <w:noWrap w:val="0"/>
            <w:vAlign w:val="center"/>
          </w:tcPr>
          <w:p w14:paraId="1029DAA6">
            <w:pPr>
              <w:pStyle w:val="12"/>
              <w:ind w:firstLine="412" w:firstLineChars="200"/>
              <w:jc w:val="center"/>
              <w:rPr>
                <w:rFonts w:hint="eastAsia" w:ascii="仿宋" w:hAnsi="仿宋" w:eastAsia="仿宋" w:cs="仿宋"/>
                <w:color w:val="000000"/>
                <w:sz w:val="21"/>
                <w:szCs w:val="21"/>
                <w:lang w:val="en-US" w:eastAsia="zh-CN"/>
              </w:rPr>
            </w:pPr>
            <w:r>
              <w:rPr>
                <w:rFonts w:hint="eastAsia" w:ascii="Times New Roman" w:cs="Times New Roman"/>
                <w:spacing w:val="-2"/>
                <w:lang w:val="en-US" w:eastAsia="zh-CN"/>
              </w:rPr>
              <w:t>中</w:t>
            </w:r>
            <w:r>
              <w:rPr>
                <w:rFonts w:hint="eastAsia" w:ascii="Times New Roman" w:hAnsi="Times New Roman" w:eastAsia="宋体" w:cs="Times New Roman"/>
                <w:spacing w:val="-2"/>
                <w:lang w:val="en-US" w:eastAsia="zh-CN"/>
              </w:rPr>
              <w:t>病（</w:t>
            </w:r>
            <w:r>
              <w:rPr>
                <w:rFonts w:hint="eastAsia" w:ascii="Times New Roman" w:cs="Times New Roman"/>
                <w:spacing w:val="-2"/>
                <w:lang w:val="en-US" w:eastAsia="zh-CN"/>
              </w:rPr>
              <w:t>M</w:t>
            </w:r>
            <w:r>
              <w:rPr>
                <w:rFonts w:hint="eastAsia" w:ascii="Times New Roman" w:hAnsi="Times New Roman" w:eastAsia="宋体" w:cs="Times New Roman"/>
                <w:spacing w:val="-2"/>
                <w:lang w:val="en-US" w:eastAsia="zh-CN"/>
              </w:rPr>
              <w:t>S）</w:t>
            </w:r>
          </w:p>
        </w:tc>
        <w:tc>
          <w:tcPr>
            <w:tcW w:w="4481" w:type="dxa"/>
            <w:tcBorders>
              <w:top w:val="nil"/>
              <w:left w:val="nil"/>
              <w:bottom w:val="nil"/>
              <w:right w:val="nil"/>
            </w:tcBorders>
            <w:noWrap w:val="0"/>
            <w:vAlign w:val="center"/>
          </w:tcPr>
          <w:p w14:paraId="243D8A46">
            <w:pPr>
              <w:pStyle w:val="12"/>
              <w:ind w:firstLine="412" w:firstLineChars="200"/>
              <w:jc w:val="center"/>
              <w:rPr>
                <w:rFonts w:hint="eastAsia" w:ascii="仿宋" w:hAnsi="仿宋" w:eastAsia="仿宋" w:cs="仿宋"/>
                <w:color w:val="000000"/>
                <w:sz w:val="21"/>
                <w:szCs w:val="21"/>
                <w:lang w:val="en-US" w:eastAsia="zh-CN"/>
              </w:rPr>
            </w:pPr>
            <w:r>
              <w:rPr>
                <w:rFonts w:hint="eastAsia" w:ascii="Times New Roman" w:cs="Times New Roman"/>
                <w:spacing w:val="-2"/>
                <w:lang w:val="en-US" w:eastAsia="zh-CN"/>
              </w:rPr>
              <w:t>5</w:t>
            </w:r>
            <w:r>
              <w:rPr>
                <w:rFonts w:hint="eastAsia" w:ascii="Times New Roman" w:hAnsi="Times New Roman" w:eastAsia="宋体" w:cs="Times New Roman"/>
                <w:spacing w:val="-2"/>
                <w:lang w:val="en-US" w:eastAsia="zh-CN"/>
              </w:rPr>
              <w:t>5＜DI≤</w:t>
            </w:r>
            <w:r>
              <w:rPr>
                <w:rFonts w:hint="eastAsia" w:ascii="Times New Roman" w:cs="Times New Roman"/>
                <w:spacing w:val="-2"/>
                <w:lang w:val="en-US" w:eastAsia="zh-CN"/>
              </w:rPr>
              <w:t>75</w:t>
            </w:r>
          </w:p>
        </w:tc>
      </w:tr>
      <w:tr w14:paraId="66E84F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22" w:hRule="atLeast"/>
          <w:jc w:val="center"/>
        </w:trPr>
        <w:tc>
          <w:tcPr>
            <w:tcW w:w="3958" w:type="dxa"/>
            <w:tcBorders>
              <w:top w:val="nil"/>
              <w:left w:val="nil"/>
              <w:bottom w:val="single" w:color="000000" w:sz="12" w:space="0"/>
              <w:right w:val="nil"/>
            </w:tcBorders>
            <w:noWrap w:val="0"/>
            <w:vAlign w:val="center"/>
          </w:tcPr>
          <w:p w14:paraId="6BFC058D">
            <w:pPr>
              <w:pStyle w:val="12"/>
              <w:ind w:firstLine="412" w:firstLineChars="200"/>
              <w:jc w:val="center"/>
              <w:rPr>
                <w:rFonts w:hint="eastAsia" w:ascii="仿宋" w:hAnsi="仿宋" w:eastAsia="仿宋" w:cs="仿宋"/>
                <w:color w:val="000000"/>
                <w:sz w:val="21"/>
                <w:szCs w:val="21"/>
                <w:lang w:val="en-US" w:eastAsia="zh-CN"/>
              </w:rPr>
            </w:pPr>
            <w:r>
              <w:rPr>
                <w:rFonts w:hint="eastAsia" w:ascii="Times New Roman" w:hAnsi="Times New Roman" w:eastAsia="宋体" w:cs="Times New Roman"/>
                <w:spacing w:val="-2"/>
                <w:lang w:val="en-US" w:eastAsia="zh-CN"/>
              </w:rPr>
              <w:t>高感（HS）</w:t>
            </w:r>
          </w:p>
        </w:tc>
        <w:tc>
          <w:tcPr>
            <w:tcW w:w="4481" w:type="dxa"/>
            <w:tcBorders>
              <w:top w:val="nil"/>
              <w:left w:val="nil"/>
              <w:bottom w:val="single" w:color="000000" w:sz="12" w:space="0"/>
              <w:right w:val="nil"/>
            </w:tcBorders>
            <w:noWrap w:val="0"/>
            <w:vAlign w:val="center"/>
          </w:tcPr>
          <w:p w14:paraId="67882072">
            <w:pPr>
              <w:pStyle w:val="12"/>
              <w:ind w:firstLine="412" w:firstLineChars="200"/>
              <w:jc w:val="center"/>
              <w:rPr>
                <w:rFonts w:hint="eastAsia" w:ascii="仿宋" w:hAnsi="仿宋" w:eastAsia="仿宋" w:cs="仿宋"/>
                <w:color w:val="000000"/>
                <w:sz w:val="21"/>
                <w:szCs w:val="21"/>
                <w:lang w:val="en-US" w:eastAsia="zh-CN"/>
              </w:rPr>
            </w:pPr>
            <w:r>
              <w:rPr>
                <w:rFonts w:hint="eastAsia" w:ascii="Times New Roman" w:cs="Times New Roman"/>
                <w:spacing w:val="-2"/>
                <w:lang w:val="en-US" w:eastAsia="zh-CN"/>
              </w:rPr>
              <w:t>75＜</w:t>
            </w:r>
            <w:r>
              <w:rPr>
                <w:rFonts w:hint="eastAsia" w:ascii="Times New Roman" w:hAnsi="Times New Roman" w:eastAsia="宋体" w:cs="Times New Roman"/>
                <w:spacing w:val="-2"/>
                <w:lang w:val="en-US" w:eastAsia="zh-CN"/>
              </w:rPr>
              <w:t>ID</w:t>
            </w:r>
          </w:p>
        </w:tc>
      </w:tr>
    </w:tbl>
    <w:p w14:paraId="1707F392">
      <w:pPr>
        <w:keepNext w:val="0"/>
        <w:keepLines w:val="0"/>
        <w:pageBreakBefore w:val="0"/>
        <w:widowControl w:val="0"/>
        <w:kinsoku/>
        <w:wordWrap/>
        <w:overflowPunct/>
        <w:topLinePunct w:val="0"/>
        <w:autoSpaceDE/>
        <w:autoSpaceDN/>
        <w:bidi w:val="0"/>
        <w:adjustRightInd/>
        <w:snapToGrid/>
        <w:spacing w:before="157" w:beforeLines="50" w:line="360" w:lineRule="auto"/>
        <w:ind w:firstLine="640" w:firstLineChars="200"/>
        <w:textAlignment w:val="auto"/>
        <w:rPr>
          <w:rFonts w:hint="eastAsia" w:ascii="仿宋_GB2312" w:hAnsi="宋体" w:eastAsia="仿宋_GB2312" w:cs="Times New Roman"/>
          <w:kern w:val="0"/>
          <w:sz w:val="32"/>
          <w:szCs w:val="32"/>
          <w:lang w:val="en-US" w:eastAsia="zh-CN"/>
        </w:rPr>
      </w:pPr>
      <w:r>
        <w:rPr>
          <w:rFonts w:hint="eastAsia" w:ascii="仿宋_GB2312" w:hAnsi="宋体" w:eastAsia="仿宋_GB2312" w:cs="Times New Roman"/>
          <w:kern w:val="0"/>
          <w:sz w:val="32"/>
          <w:szCs w:val="32"/>
          <w:lang w:val="en-US" w:eastAsia="zh-CN"/>
        </w:rPr>
        <w:t>6 试验结果</w:t>
      </w:r>
    </w:p>
    <w:p w14:paraId="0884ED33">
      <w:pPr>
        <w:spacing w:line="360" w:lineRule="auto"/>
        <w:ind w:firstLine="640" w:firstLineChars="200"/>
        <w:rPr>
          <w:rFonts w:hint="default" w:ascii="仿宋_GB2312" w:hAnsi="宋体" w:eastAsia="仿宋_GB2312" w:cs="Times New Roman"/>
          <w:kern w:val="0"/>
          <w:sz w:val="32"/>
          <w:szCs w:val="32"/>
          <w:lang w:val="en-US" w:eastAsia="zh-CN"/>
        </w:rPr>
      </w:pPr>
      <w:r>
        <w:rPr>
          <w:rFonts w:hint="eastAsia" w:ascii="仿宋_GB2312" w:hAnsi="宋体" w:eastAsia="仿宋_GB2312" w:cs="Times New Roman"/>
          <w:kern w:val="0"/>
          <w:sz w:val="32"/>
          <w:szCs w:val="32"/>
          <w:lang w:val="en-US" w:eastAsia="zh-CN"/>
        </w:rPr>
        <w:t>6.1 病原菌侵染</w:t>
      </w:r>
    </w:p>
    <w:p w14:paraId="4E673B00">
      <w:pPr>
        <w:spacing w:line="360" w:lineRule="auto"/>
        <w:ind w:firstLine="640" w:firstLineChars="200"/>
        <w:rPr>
          <w:rFonts w:hint="default" w:ascii="仿宋_GB2312" w:hAnsi="宋体" w:eastAsia="仿宋_GB2312" w:cs="Times New Roman"/>
          <w:kern w:val="0"/>
          <w:sz w:val="32"/>
          <w:szCs w:val="32"/>
          <w:lang w:val="en-US" w:eastAsia="zh-CN"/>
        </w:rPr>
      </w:pPr>
      <w:r>
        <w:rPr>
          <w:rFonts w:hint="default" w:ascii="仿宋_GB2312" w:hAnsi="宋体" w:eastAsia="仿宋_GB2312" w:cs="Times New Roman"/>
          <w:kern w:val="0"/>
          <w:sz w:val="32"/>
          <w:szCs w:val="32"/>
          <w:lang w:val="en-US" w:eastAsia="zh-CN"/>
        </w:rPr>
        <w:t>供试白菜</w:t>
      </w:r>
      <w:r>
        <w:rPr>
          <w:rFonts w:hint="eastAsia" w:ascii="仿宋_GB2312" w:hAnsi="宋体" w:eastAsia="仿宋_GB2312" w:cs="Times New Roman"/>
          <w:kern w:val="0"/>
          <w:sz w:val="32"/>
          <w:szCs w:val="32"/>
          <w:lang w:val="en-US" w:eastAsia="zh-CN"/>
        </w:rPr>
        <w:t>品种</w:t>
      </w:r>
      <w:r>
        <w:rPr>
          <w:rFonts w:hint="default" w:ascii="仿宋_GB2312" w:hAnsi="宋体" w:eastAsia="仿宋_GB2312" w:cs="Times New Roman"/>
          <w:kern w:val="0"/>
          <w:sz w:val="32"/>
          <w:szCs w:val="32"/>
          <w:lang w:val="en-US" w:eastAsia="zh-CN"/>
        </w:rPr>
        <w:t>在接种菌株25 d后，叶片开始表现出症状，叶脉变色，病斑不断扩展，叶片也逐渐发黄至整片枯萎死亡，严重时整株枯萎死亡（图</w:t>
      </w:r>
      <w:r>
        <w:rPr>
          <w:rFonts w:hint="eastAsia" w:ascii="仿宋_GB2312" w:hAnsi="宋体" w:eastAsia="仿宋_GB2312" w:cs="Times New Roman"/>
          <w:kern w:val="0"/>
          <w:sz w:val="32"/>
          <w:szCs w:val="32"/>
          <w:lang w:val="en-US" w:eastAsia="zh-CN"/>
        </w:rPr>
        <w:t>1</w:t>
      </w:r>
      <w:r>
        <w:rPr>
          <w:rFonts w:hint="default" w:ascii="仿宋_GB2312" w:hAnsi="宋体" w:eastAsia="仿宋_GB2312" w:cs="Times New Roman"/>
          <w:kern w:val="0"/>
          <w:sz w:val="32"/>
          <w:szCs w:val="32"/>
          <w:lang w:val="en-US" w:eastAsia="zh-CN"/>
        </w:rPr>
        <w:t>）。剖开茎秆可见维管束变色明显，发黑或褐化（图</w:t>
      </w:r>
      <w:r>
        <w:rPr>
          <w:rFonts w:hint="eastAsia" w:ascii="仿宋_GB2312" w:hAnsi="宋体" w:eastAsia="仿宋_GB2312" w:cs="Times New Roman"/>
          <w:kern w:val="0"/>
          <w:sz w:val="32"/>
          <w:szCs w:val="32"/>
          <w:lang w:val="en-US" w:eastAsia="zh-CN"/>
        </w:rPr>
        <w:t>2</w:t>
      </w:r>
      <w:r>
        <w:rPr>
          <w:rFonts w:hint="default" w:ascii="仿宋_GB2312" w:hAnsi="宋体" w:eastAsia="仿宋_GB2312" w:cs="Times New Roman"/>
          <w:kern w:val="0"/>
          <w:sz w:val="32"/>
          <w:szCs w:val="32"/>
          <w:lang w:val="en-US" w:eastAsia="zh-CN"/>
        </w:rPr>
        <w:t>），对照组未出现上述情况。</w:t>
      </w:r>
    </w:p>
    <w:p w14:paraId="5265B7C1">
      <w:pPr>
        <w:pStyle w:val="16"/>
        <w:keepNext w:val="0"/>
        <w:keepLines w:val="0"/>
        <w:pageBreakBefore w:val="0"/>
        <w:widowControl w:val="0"/>
        <w:kinsoku/>
        <w:wordWrap/>
        <w:overflowPunct/>
        <w:topLinePunct w:val="0"/>
        <w:autoSpaceDE/>
        <w:autoSpaceDN/>
        <w:bidi w:val="0"/>
        <w:adjustRightInd/>
        <w:snapToGrid/>
        <w:spacing w:before="120" w:after="240" w:line="240" w:lineRule="auto"/>
        <w:ind w:firstLine="420" w:firstLineChars="200"/>
        <w:jc w:val="center"/>
        <w:textAlignment w:val="auto"/>
        <w:rPr>
          <w:rFonts w:hint="eastAsia" w:ascii="Times New Roman" w:hAnsi="Times New Roman" w:eastAsia="宋体"/>
          <w:color w:val="000000" w:themeColor="text1"/>
          <w:lang w:eastAsia="zh-CN"/>
          <w14:textFill>
            <w14:solidFill>
              <w14:schemeClr w14:val="tx1"/>
            </w14:solidFill>
          </w14:textFill>
        </w:rPr>
      </w:pPr>
      <w:r>
        <w:rPr>
          <w:rFonts w:ascii="Times New Roman" w:hAnsi="Times New Roman"/>
          <w:color w:val="000000" w:themeColor="text1"/>
          <w14:textFill>
            <w14:solidFill>
              <w14:schemeClr w14:val="tx1"/>
            </w14:solidFill>
          </w14:textFill>
        </w:rPr>
        <w:drawing>
          <wp:inline distT="0" distB="0" distL="114300" distR="114300">
            <wp:extent cx="1702435" cy="1702435"/>
            <wp:effectExtent l="0" t="0" r="12065" b="12065"/>
            <wp:docPr id="19" name="图片 -2147482603" descr="6.11白菜排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147482603" descr="6.11白菜排版"/>
                    <pic:cNvPicPr>
                      <a:picLocks noChangeAspect="1"/>
                    </pic:cNvPicPr>
                  </pic:nvPicPr>
                  <pic:blipFill>
                    <a:blip r:embed="rId5"/>
                    <a:stretch>
                      <a:fillRect/>
                    </a:stretch>
                  </pic:blipFill>
                  <pic:spPr>
                    <a:xfrm>
                      <a:off x="0" y="0"/>
                      <a:ext cx="1702435" cy="1702435"/>
                    </a:xfrm>
                    <a:prstGeom prst="rect">
                      <a:avLst/>
                    </a:prstGeom>
                    <a:noFill/>
                    <a:ln w="9525">
                      <a:noFill/>
                    </a:ln>
                  </pic:spPr>
                </pic:pic>
              </a:graphicData>
            </a:graphic>
          </wp:inline>
        </w:drawing>
      </w:r>
      <w:r>
        <w:rPr>
          <w:rFonts w:hint="eastAsia" w:ascii="Times New Roman" w:hAnsi="Times New Roman" w:eastAsia="宋体"/>
          <w:color w:val="000000" w:themeColor="text1"/>
          <w:lang w:eastAsia="zh-CN"/>
          <w14:textFill>
            <w14:solidFill>
              <w14:schemeClr w14:val="tx1"/>
            </w14:solidFill>
          </w14:textFill>
        </w:rPr>
        <w:drawing>
          <wp:inline distT="0" distB="0" distL="114300" distR="114300">
            <wp:extent cx="1603375" cy="1749425"/>
            <wp:effectExtent l="0" t="0" r="15875" b="3175"/>
            <wp:docPr id="23" name="图片 23" descr="致病性测定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致病性测定4"/>
                    <pic:cNvPicPr>
                      <a:picLocks noChangeAspect="1"/>
                    </pic:cNvPicPr>
                  </pic:nvPicPr>
                  <pic:blipFill>
                    <a:blip r:embed="rId6"/>
                    <a:stretch>
                      <a:fillRect/>
                    </a:stretch>
                  </pic:blipFill>
                  <pic:spPr>
                    <a:xfrm>
                      <a:off x="0" y="0"/>
                      <a:ext cx="1603375" cy="1749425"/>
                    </a:xfrm>
                    <a:prstGeom prst="rect">
                      <a:avLst/>
                    </a:prstGeom>
                  </pic:spPr>
                </pic:pic>
              </a:graphicData>
            </a:graphic>
          </wp:inline>
        </w:drawing>
      </w:r>
    </w:p>
    <w:p w14:paraId="1C727ED4">
      <w:pPr>
        <w:pStyle w:val="16"/>
        <w:keepNext w:val="0"/>
        <w:keepLines w:val="0"/>
        <w:pageBreakBefore w:val="0"/>
        <w:widowControl w:val="0"/>
        <w:kinsoku/>
        <w:wordWrap/>
        <w:overflowPunct/>
        <w:topLinePunct w:val="0"/>
        <w:autoSpaceDE/>
        <w:autoSpaceDN/>
        <w:bidi w:val="0"/>
        <w:adjustRightInd/>
        <w:snapToGrid/>
        <w:spacing w:before="120" w:after="240" w:line="240" w:lineRule="auto"/>
        <w:ind w:firstLine="420" w:firstLineChars="200"/>
        <w:jc w:val="center"/>
        <w:textAlignment w:val="auto"/>
        <w:rPr>
          <w:rFonts w:hint="default" w:ascii="Times New Roman" w:hAnsi="Times New Roman"/>
          <w:color w:val="000000" w:themeColor="text1"/>
          <w:lang w:val="en-US" w:eastAsia="zh-CN"/>
          <w14:textFill>
            <w14:solidFill>
              <w14:schemeClr w14:val="tx1"/>
            </w14:solidFill>
          </w14:textFill>
        </w:rPr>
      </w:pPr>
      <w:r>
        <w:rPr>
          <w:rFonts w:hint="eastAsia" w:ascii="仿宋" w:hAnsi="仿宋" w:eastAsia="仿宋" w:cs="仿宋"/>
          <w:color w:val="000000" w:themeColor="text1"/>
          <w14:textFill>
            <w14:solidFill>
              <w14:schemeClr w14:val="tx1"/>
            </w14:solidFill>
          </w14:textFill>
        </w:rPr>
        <w:t>图</w:t>
      </w:r>
      <w:r>
        <w:rPr>
          <w:rFonts w:hint="eastAsia" w:ascii="仿宋" w:hAnsi="仿宋" w:eastAsia="仿宋" w:cs="仿宋"/>
          <w:color w:val="000000" w:themeColor="text1"/>
          <w:lang w:val="en-US" w:eastAsia="zh-CN"/>
          <w14:textFill>
            <w14:solidFill>
              <w14:schemeClr w14:val="tx1"/>
            </w14:solidFill>
          </w14:textFill>
        </w:rPr>
        <w:t xml:space="preserve">1 </w:t>
      </w:r>
      <w:r>
        <w:rPr>
          <w:rFonts w:hint="eastAsia" w:ascii="仿宋" w:hAnsi="仿宋" w:eastAsia="仿宋" w:cs="仿宋"/>
          <w:color w:val="000000" w:themeColor="text1"/>
          <w14:textFill>
            <w14:solidFill>
              <w14:schemeClr w14:val="tx1"/>
            </w14:solidFill>
          </w14:textFill>
        </w:rPr>
        <w:t>白菜叶片发病周期症状  A:发病初期；B:发病中期；C:发病中后期；D:发病末期</w:t>
      </w:r>
      <w:r>
        <w:rPr>
          <w:rFonts w:hint="eastAsia" w:ascii="仿宋" w:hAnsi="仿宋" w:eastAsia="仿宋" w:cs="仿宋"/>
          <w:color w:val="000000" w:themeColor="text1"/>
          <w:lang w:val="en-US" w:eastAsia="zh-CN"/>
          <w14:textFill>
            <w14:solidFill>
              <w14:schemeClr w14:val="tx1"/>
            </w14:solidFill>
          </w14:textFill>
        </w:rPr>
        <w:t xml:space="preserve"> E:对照：</w:t>
      </w:r>
    </w:p>
    <w:p w14:paraId="539B563D">
      <w:pPr>
        <w:keepNext w:val="0"/>
        <w:keepLines w:val="0"/>
        <w:pageBreakBefore w:val="0"/>
        <w:widowControl w:val="0"/>
        <w:kinsoku/>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olor w:val="000000" w:themeColor="text1"/>
          <w:lang w:eastAsia="zh-CN"/>
          <w14:textFill>
            <w14:solidFill>
              <w14:schemeClr w14:val="tx1"/>
            </w14:solidFill>
          </w14:textFill>
        </w:rPr>
      </w:pPr>
      <w:r>
        <w:rPr>
          <w:rFonts w:hint="eastAsia" w:ascii="Times New Roman" w:hAnsi="Times New Roman" w:eastAsia="宋体"/>
          <w:color w:val="000000" w:themeColor="text1"/>
          <w:lang w:eastAsia="zh-CN"/>
          <w14:textFill>
            <w14:solidFill>
              <w14:schemeClr w14:val="tx1"/>
            </w14:solidFill>
          </w14:textFill>
        </w:rPr>
        <w:drawing>
          <wp:inline distT="0" distB="0" distL="114300" distR="114300">
            <wp:extent cx="3405505" cy="2127250"/>
            <wp:effectExtent l="0" t="0" r="4445" b="6350"/>
            <wp:docPr id="17" name="图片 17" descr="致病性测定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致病性测定照片"/>
                    <pic:cNvPicPr>
                      <a:picLocks noChangeAspect="1"/>
                    </pic:cNvPicPr>
                  </pic:nvPicPr>
                  <pic:blipFill>
                    <a:blip r:embed="rId7"/>
                    <a:stretch>
                      <a:fillRect/>
                    </a:stretch>
                  </pic:blipFill>
                  <pic:spPr>
                    <a:xfrm>
                      <a:off x="0" y="0"/>
                      <a:ext cx="3405505" cy="2127250"/>
                    </a:xfrm>
                    <a:prstGeom prst="rect">
                      <a:avLst/>
                    </a:prstGeom>
                  </pic:spPr>
                </pic:pic>
              </a:graphicData>
            </a:graphic>
          </wp:inline>
        </w:drawing>
      </w:r>
    </w:p>
    <w:p w14:paraId="7C964EA1">
      <w:pPr>
        <w:keepNext w:val="0"/>
        <w:keepLines w:val="0"/>
        <w:pageBreakBefore w:val="0"/>
        <w:widowControl w:val="0"/>
        <w:kinsoku/>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olor w:val="000000" w:themeColor="text1"/>
          <w:lang w:eastAsia="zh-CN"/>
          <w14:textFill>
            <w14:solidFill>
              <w14:schemeClr w14:val="tx1"/>
            </w14:solidFill>
          </w14:textFill>
        </w:rPr>
      </w:pPr>
    </w:p>
    <w:p w14:paraId="4BF9468C">
      <w:pPr>
        <w:keepNext w:val="0"/>
        <w:keepLines w:val="0"/>
        <w:pageBreakBefore w:val="0"/>
        <w:widowControl w:val="0"/>
        <w:kinsoku/>
        <w:overflowPunct/>
        <w:topLinePunct w:val="0"/>
        <w:autoSpaceDE/>
        <w:autoSpaceDN/>
        <w:bidi w:val="0"/>
        <w:adjustRightInd/>
        <w:snapToGrid/>
        <w:spacing w:before="120" w:after="240" w:line="240" w:lineRule="auto"/>
        <w:ind w:firstLine="420" w:firstLineChars="200"/>
        <w:jc w:val="center"/>
        <w:textAlignment w:val="auto"/>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themeColor="text1"/>
          <w:sz w:val="21"/>
          <w:szCs w:val="21"/>
          <w14:textFill>
            <w14:solidFill>
              <w14:schemeClr w14:val="tx1"/>
            </w14:solidFill>
          </w14:textFill>
        </w:rPr>
        <w:t>图</w:t>
      </w:r>
      <w:r>
        <w:rPr>
          <w:rFonts w:hint="eastAsia" w:ascii="仿宋" w:hAnsi="仿宋" w:eastAsia="仿宋" w:cs="仿宋"/>
          <w:color w:val="000000" w:themeColor="text1"/>
          <w:sz w:val="21"/>
          <w:szCs w:val="21"/>
          <w:lang w:val="en-US" w:eastAsia="zh-CN"/>
          <w14:textFill>
            <w14:solidFill>
              <w14:schemeClr w14:val="tx1"/>
            </w14:solidFill>
          </w14:textFill>
        </w:rPr>
        <w:t>2</w:t>
      </w:r>
      <w:r>
        <w:rPr>
          <w:rFonts w:hint="eastAsia" w:ascii="仿宋" w:hAnsi="仿宋" w:eastAsia="仿宋" w:cs="仿宋"/>
          <w:color w:val="000000" w:themeColor="text1"/>
          <w:sz w:val="21"/>
          <w:szCs w:val="21"/>
          <w14:textFill>
            <w14:solidFill>
              <w14:schemeClr w14:val="tx1"/>
            </w14:solidFill>
          </w14:textFill>
        </w:rPr>
        <w:t xml:space="preserve"> 白菜竖向剖开症状</w:t>
      </w:r>
      <w:r>
        <w:rPr>
          <w:rFonts w:hint="eastAsia" w:ascii="仿宋" w:hAnsi="仿宋" w:eastAsia="仿宋" w:cs="仿宋"/>
          <w:color w:val="000000" w:themeColor="text1"/>
          <w:sz w:val="21"/>
          <w:szCs w:val="21"/>
          <w:lang w:val="en-US" w:eastAsia="zh-CN"/>
          <w14:textFill>
            <w14:solidFill>
              <w14:schemeClr w14:val="tx1"/>
            </w14:solidFill>
          </w14:textFill>
        </w:rPr>
        <w:t xml:space="preserve">A:接种后62d. </w:t>
      </w:r>
      <w:r>
        <w:rPr>
          <w:rFonts w:hint="eastAsia" w:ascii="仿宋" w:hAnsi="仿宋" w:eastAsia="仿宋" w:cs="仿宋"/>
          <w:color w:val="000000" w:themeColor="text1"/>
          <w:sz w:val="21"/>
          <w:szCs w:val="21"/>
          <w14:textFill>
            <w14:solidFill>
              <w14:schemeClr w14:val="tx1"/>
            </w14:solidFill>
          </w14:textFill>
        </w:rPr>
        <w:t>B,C,D:根维管束黑色和变色</w:t>
      </w:r>
      <w:r>
        <w:rPr>
          <w:rFonts w:hint="eastAsia" w:ascii="仿宋" w:hAnsi="仿宋" w:eastAsia="仿宋" w:cs="仿宋"/>
          <w:color w:val="000000" w:themeColor="text1"/>
          <w:sz w:val="21"/>
          <w:szCs w:val="21"/>
          <w:lang w:val="en-US" w:eastAsia="zh-CN"/>
          <w14:textFill>
            <w14:solidFill>
              <w14:schemeClr w14:val="tx1"/>
            </w14:solidFill>
          </w14:textFill>
        </w:rPr>
        <w:t>.</w:t>
      </w:r>
      <w:r>
        <w:rPr>
          <w:rFonts w:hint="eastAsia" w:ascii="仿宋" w:hAnsi="仿宋" w:eastAsia="仿宋" w:cs="仿宋"/>
          <w:color w:val="000000" w:themeColor="text1"/>
          <w:sz w:val="21"/>
          <w:szCs w:val="21"/>
          <w14:textFill>
            <w14:solidFill>
              <w14:schemeClr w14:val="tx1"/>
            </w14:solidFill>
          </w14:textFill>
        </w:rPr>
        <w:t>E:对照组(</w:t>
      </w:r>
      <w:r>
        <w:rPr>
          <w:rFonts w:hint="eastAsia" w:ascii="仿宋" w:hAnsi="仿宋" w:eastAsia="仿宋" w:cs="仿宋"/>
          <w:color w:val="000000" w:themeColor="text1"/>
          <w:sz w:val="21"/>
          <w:szCs w:val="21"/>
          <w:lang w:val="en-US" w:eastAsia="zh-CN"/>
          <w14:textFill>
            <w14:solidFill>
              <w14:schemeClr w14:val="tx1"/>
            </w14:solidFill>
          </w14:textFill>
        </w:rPr>
        <w:t>无菌水接种</w:t>
      </w:r>
      <w:r>
        <w:rPr>
          <w:rFonts w:hint="eastAsia" w:ascii="仿宋" w:hAnsi="仿宋" w:eastAsia="仿宋" w:cs="仿宋"/>
          <w:color w:val="000000" w:themeColor="text1"/>
          <w:sz w:val="21"/>
          <w:szCs w:val="21"/>
          <w14:textFill>
            <w14:solidFill>
              <w14:schemeClr w14:val="tx1"/>
            </w14:solidFill>
          </w14:textFill>
        </w:rPr>
        <w:t>)</w:t>
      </w:r>
    </w:p>
    <w:p w14:paraId="625CC80E">
      <w:pPr>
        <w:numPr>
          <w:ilvl w:val="0"/>
          <w:numId w:val="0"/>
        </w:numPr>
        <w:spacing w:line="360" w:lineRule="auto"/>
        <w:ind w:firstLine="640" w:firstLineChars="200"/>
        <w:rPr>
          <w:rFonts w:hint="eastAsia" w:ascii="仿宋_GB2312" w:hAnsi="宋体" w:eastAsia="仿宋_GB2312" w:cs="Times New Roman"/>
          <w:kern w:val="0"/>
          <w:sz w:val="32"/>
          <w:szCs w:val="32"/>
          <w:lang w:val="en-GB" w:eastAsia="zh-CN"/>
        </w:rPr>
      </w:pPr>
      <w:bookmarkStart w:id="6" w:name="_Toc15344"/>
      <w:r>
        <w:rPr>
          <w:rFonts w:hint="eastAsia" w:ascii="仿宋_GB2312" w:hAnsi="宋体" w:eastAsia="仿宋_GB2312" w:cs="Times New Roman"/>
          <w:kern w:val="0"/>
          <w:sz w:val="32"/>
          <w:szCs w:val="32"/>
          <w:lang w:val="en-US" w:eastAsia="zh-CN"/>
        </w:rPr>
        <w:t xml:space="preserve">6.2 </w:t>
      </w:r>
      <w:r>
        <w:rPr>
          <w:rFonts w:hint="eastAsia" w:ascii="仿宋_GB2312" w:hAnsi="宋体" w:eastAsia="仿宋_GB2312" w:cs="Times New Roman"/>
          <w:kern w:val="0"/>
          <w:sz w:val="32"/>
          <w:szCs w:val="32"/>
          <w:lang w:val="en-GB" w:eastAsia="zh-CN"/>
        </w:rPr>
        <w:t>参试品种抗性鉴定</w:t>
      </w:r>
      <w:bookmarkEnd w:id="6"/>
    </w:p>
    <w:p w14:paraId="61368C30">
      <w:pPr>
        <w:pStyle w:val="2"/>
        <w:keepNext/>
        <w:keepLines w:val="0"/>
        <w:pageBreakBefore w:val="0"/>
        <w:widowControl/>
        <w:kinsoku/>
        <w:wordWrap/>
        <w:overflowPunct/>
        <w:topLinePunct w:val="0"/>
        <w:autoSpaceDE/>
        <w:autoSpaceDN/>
        <w:bidi w:val="0"/>
        <w:adjustRightInd/>
        <w:snapToGrid/>
        <w:spacing w:after="120"/>
        <w:ind w:firstLine="620" w:firstLineChars="200"/>
        <w:jc w:val="both"/>
        <w:textAlignment w:val="auto"/>
        <w:rPr>
          <w:rFonts w:hint="eastAsia" w:ascii="仿宋_GB2312" w:hAnsi="宋体" w:eastAsia="仿宋_GB2312" w:cs="Times New Roman"/>
          <w:kern w:val="0"/>
          <w:sz w:val="32"/>
          <w:szCs w:val="32"/>
          <w:lang w:val="en-GB" w:eastAsia="zh-CN"/>
        </w:rPr>
      </w:pPr>
      <w:r>
        <w:rPr>
          <w:rFonts w:hint="eastAsia" w:ascii="仿宋_GB2312" w:hAnsi="宋体" w:eastAsia="仿宋_GB2312" w:cs="Times New Roman"/>
          <w:kern w:val="0"/>
          <w:sz w:val="32"/>
          <w:szCs w:val="32"/>
          <w:lang w:val="en-GB" w:eastAsia="zh-CN"/>
        </w:rPr>
        <w:t>本次试验对15个结球白菜品种进行黄萎病抗性鉴定，各品种的发病率和病情指数存在显著差异（</w:t>
      </w:r>
      <w:r>
        <w:rPr>
          <w:rFonts w:hint="eastAsia" w:ascii="仿宋_GB2312" w:hAnsi="宋体" w:eastAsia="仿宋_GB2312" w:cs="Times New Roman"/>
          <w:kern w:val="0"/>
          <w:sz w:val="32"/>
          <w:szCs w:val="32"/>
          <w:lang w:val="en-US" w:eastAsia="zh-CN"/>
        </w:rPr>
        <w:t>见表3）</w:t>
      </w:r>
      <w:r>
        <w:rPr>
          <w:rFonts w:hint="eastAsia" w:ascii="仿宋_GB2312" w:hAnsi="宋体" w:eastAsia="仿宋_GB2312" w:cs="Times New Roman"/>
          <w:kern w:val="0"/>
          <w:sz w:val="32"/>
          <w:szCs w:val="32"/>
          <w:lang w:val="en-GB" w:eastAsia="zh-CN"/>
        </w:rPr>
        <w:t>。其中，华耐B1102和金美黄表现最优，均达到高抗（HR）水平，发病率分别为16.67%、25%，病情指数仅6.94%、</w:t>
      </w:r>
      <w:r>
        <w:rPr>
          <w:rFonts w:hint="eastAsia" w:ascii="仿宋_GB2312" w:hAnsi="宋体" w:eastAsia="仿宋_GB2312" w:cs="Times New Roman"/>
          <w:kern w:val="0"/>
          <w:sz w:val="32"/>
          <w:szCs w:val="32"/>
          <w:lang w:val="en-US" w:eastAsia="zh-CN"/>
        </w:rPr>
        <w:t>8</w:t>
      </w:r>
      <w:r>
        <w:rPr>
          <w:rFonts w:hint="eastAsia" w:ascii="仿宋_GB2312" w:hAnsi="宋体" w:eastAsia="仿宋_GB2312" w:cs="Times New Roman"/>
          <w:kern w:val="0"/>
          <w:sz w:val="32"/>
          <w:szCs w:val="32"/>
          <w:lang w:val="en-GB" w:eastAsia="zh-CN"/>
        </w:rPr>
        <w:t>.11%</w:t>
      </w:r>
      <w:r>
        <w:rPr>
          <w:rFonts w:hint="eastAsia" w:ascii="仿宋_GB2312" w:hAnsi="宋体" w:eastAsia="仿宋_GB2312" w:cs="Times New Roman"/>
          <w:kern w:val="0"/>
          <w:sz w:val="32"/>
          <w:szCs w:val="32"/>
          <w:lang w:val="en-US" w:eastAsia="zh-CN"/>
        </w:rPr>
        <w:t>,</w:t>
      </w:r>
      <w:r>
        <w:rPr>
          <w:rFonts w:hint="eastAsia" w:ascii="仿宋_GB2312" w:hAnsi="宋体" w:eastAsia="仿宋_GB2312" w:cs="Times New Roman"/>
          <w:kern w:val="0"/>
          <w:sz w:val="32"/>
          <w:szCs w:val="32"/>
          <w:lang w:val="en-GB" w:eastAsia="zh-CN"/>
        </w:rPr>
        <w:t>；大阪黄芯、顺金5号、皇太极等</w:t>
      </w:r>
      <w:r>
        <w:rPr>
          <w:rFonts w:hint="eastAsia" w:ascii="仿宋_GB2312" w:hAnsi="宋体" w:eastAsia="仿宋_GB2312" w:cs="Times New Roman"/>
          <w:kern w:val="0"/>
          <w:sz w:val="32"/>
          <w:szCs w:val="32"/>
          <w:lang w:val="en-US" w:eastAsia="zh-CN"/>
        </w:rPr>
        <w:t>5</w:t>
      </w:r>
      <w:r>
        <w:rPr>
          <w:rFonts w:hint="eastAsia" w:ascii="仿宋_GB2312" w:hAnsi="宋体" w:eastAsia="仿宋_GB2312" w:cs="Times New Roman"/>
          <w:kern w:val="0"/>
          <w:sz w:val="32"/>
          <w:szCs w:val="32"/>
          <w:lang w:val="en-GB" w:eastAsia="zh-CN"/>
        </w:rPr>
        <w:t>个品种发病率在33.33%～</w:t>
      </w:r>
      <w:r>
        <w:rPr>
          <w:rFonts w:hint="eastAsia" w:ascii="仿宋_GB2312" w:hAnsi="宋体" w:eastAsia="仿宋_GB2312" w:cs="Times New Roman"/>
          <w:kern w:val="0"/>
          <w:sz w:val="32"/>
          <w:szCs w:val="32"/>
          <w:lang w:val="en-US" w:eastAsia="zh-CN"/>
        </w:rPr>
        <w:t>50</w:t>
      </w:r>
      <w:r>
        <w:rPr>
          <w:rFonts w:hint="eastAsia" w:ascii="仿宋_GB2312" w:hAnsi="宋体" w:eastAsia="仿宋_GB2312" w:cs="Times New Roman"/>
          <w:kern w:val="0"/>
          <w:sz w:val="32"/>
          <w:szCs w:val="32"/>
          <w:lang w:val="en-GB" w:eastAsia="zh-CN"/>
        </w:rPr>
        <w:t>%之间，病情指数为22.22%～</w:t>
      </w:r>
      <w:r>
        <w:rPr>
          <w:rFonts w:hint="eastAsia" w:ascii="仿宋_GB2312" w:hAnsi="宋体" w:eastAsia="仿宋_GB2312" w:cs="Times New Roman"/>
          <w:kern w:val="0"/>
          <w:sz w:val="32"/>
          <w:szCs w:val="32"/>
          <w:lang w:val="en-US" w:eastAsia="zh-CN"/>
        </w:rPr>
        <w:t>34.72</w:t>
      </w:r>
      <w:r>
        <w:rPr>
          <w:rFonts w:hint="eastAsia" w:ascii="仿宋_GB2312" w:hAnsi="宋体" w:eastAsia="仿宋_GB2312" w:cs="Times New Roman"/>
          <w:kern w:val="0"/>
          <w:sz w:val="32"/>
          <w:szCs w:val="32"/>
          <w:lang w:val="en-GB" w:eastAsia="zh-CN"/>
        </w:rPr>
        <w:t>%，属于抗病（R）品种；九龙黄金、玲珑等</w:t>
      </w:r>
      <w:r>
        <w:rPr>
          <w:rFonts w:hint="eastAsia" w:ascii="仿宋_GB2312" w:hAnsi="宋体" w:eastAsia="仿宋_GB2312" w:cs="Times New Roman"/>
          <w:kern w:val="0"/>
          <w:sz w:val="32"/>
          <w:szCs w:val="32"/>
          <w:lang w:val="en-US" w:eastAsia="zh-CN"/>
        </w:rPr>
        <w:t>5</w:t>
      </w:r>
      <w:r>
        <w:rPr>
          <w:rFonts w:hint="eastAsia" w:ascii="仿宋_GB2312" w:hAnsi="宋体" w:eastAsia="仿宋_GB2312" w:cs="Times New Roman"/>
          <w:kern w:val="0"/>
          <w:sz w:val="32"/>
          <w:szCs w:val="32"/>
          <w:lang w:val="en-GB" w:eastAsia="zh-CN"/>
        </w:rPr>
        <w:t>个品种发病率50%～</w:t>
      </w:r>
      <w:r>
        <w:rPr>
          <w:rFonts w:hint="eastAsia" w:ascii="仿宋_GB2312" w:hAnsi="宋体" w:eastAsia="仿宋_GB2312" w:cs="Times New Roman"/>
          <w:kern w:val="0"/>
          <w:sz w:val="32"/>
          <w:szCs w:val="32"/>
          <w:lang w:val="en-US" w:eastAsia="zh-CN"/>
        </w:rPr>
        <w:t>75</w:t>
      </w:r>
      <w:r>
        <w:rPr>
          <w:rFonts w:hint="eastAsia" w:ascii="仿宋_GB2312" w:hAnsi="宋体" w:eastAsia="仿宋_GB2312" w:cs="Times New Roman"/>
          <w:kern w:val="0"/>
          <w:sz w:val="32"/>
          <w:szCs w:val="32"/>
          <w:lang w:val="en-GB" w:eastAsia="zh-CN"/>
        </w:rPr>
        <w:t>%，病情指数</w:t>
      </w:r>
      <w:r>
        <w:rPr>
          <w:rFonts w:hint="eastAsia" w:ascii="仿宋_GB2312" w:hAnsi="宋体" w:eastAsia="仿宋_GB2312" w:cs="Times New Roman"/>
          <w:kern w:val="0"/>
          <w:sz w:val="32"/>
          <w:szCs w:val="32"/>
          <w:lang w:val="en-US" w:eastAsia="zh-CN"/>
        </w:rPr>
        <w:t>40.28</w:t>
      </w:r>
      <w:r>
        <w:rPr>
          <w:rFonts w:hint="eastAsia" w:ascii="仿宋_GB2312" w:hAnsi="宋体" w:eastAsia="仿宋_GB2312" w:cs="Times New Roman"/>
          <w:kern w:val="0"/>
          <w:sz w:val="32"/>
          <w:szCs w:val="32"/>
          <w:lang w:val="en-GB" w:eastAsia="zh-CN"/>
        </w:rPr>
        <w:t>%～</w:t>
      </w:r>
      <w:r>
        <w:rPr>
          <w:rFonts w:hint="eastAsia" w:ascii="仿宋_GB2312" w:hAnsi="宋体" w:eastAsia="仿宋_GB2312" w:cs="Times New Roman"/>
          <w:kern w:val="0"/>
          <w:sz w:val="32"/>
          <w:szCs w:val="32"/>
          <w:lang w:val="en-US" w:eastAsia="zh-CN"/>
        </w:rPr>
        <w:t>51.89</w:t>
      </w:r>
      <w:r>
        <w:rPr>
          <w:rFonts w:hint="eastAsia" w:ascii="仿宋_GB2312" w:hAnsi="宋体" w:eastAsia="仿宋_GB2312" w:cs="Times New Roman"/>
          <w:kern w:val="0"/>
          <w:sz w:val="32"/>
          <w:szCs w:val="32"/>
          <w:lang w:val="en-GB" w:eastAsia="zh-CN"/>
        </w:rPr>
        <w:t>%，为中抗（MR）品种；新美</w:t>
      </w:r>
      <w:r>
        <w:rPr>
          <w:rFonts w:hint="eastAsia" w:ascii="仿宋_GB2312" w:hAnsi="宋体" w:eastAsia="仿宋_GB2312" w:cs="Times New Roman"/>
          <w:kern w:val="0"/>
          <w:sz w:val="32"/>
          <w:szCs w:val="32"/>
          <w:lang w:val="en-US" w:eastAsia="zh-CN"/>
        </w:rPr>
        <w:t>034、新星</w:t>
      </w:r>
      <w:r>
        <w:rPr>
          <w:rFonts w:hint="eastAsia" w:ascii="仿宋_GB2312" w:hAnsi="宋体" w:eastAsia="仿宋_GB2312" w:cs="Times New Roman"/>
          <w:kern w:val="0"/>
          <w:sz w:val="32"/>
          <w:szCs w:val="32"/>
          <w:lang w:val="en-GB" w:eastAsia="zh-CN"/>
        </w:rPr>
        <w:t>发病率</w:t>
      </w:r>
      <w:r>
        <w:rPr>
          <w:rFonts w:hint="eastAsia" w:ascii="仿宋_GB2312" w:hAnsi="宋体" w:eastAsia="仿宋_GB2312" w:cs="Times New Roman"/>
          <w:kern w:val="0"/>
          <w:sz w:val="32"/>
          <w:szCs w:val="32"/>
          <w:lang w:val="en-US" w:eastAsia="zh-CN"/>
        </w:rPr>
        <w:t>75</w:t>
      </w:r>
      <w:r>
        <w:rPr>
          <w:rFonts w:hint="eastAsia" w:ascii="仿宋_GB2312" w:hAnsi="宋体" w:eastAsia="仿宋_GB2312" w:cs="Times New Roman"/>
          <w:kern w:val="0"/>
          <w:sz w:val="32"/>
          <w:szCs w:val="32"/>
          <w:lang w:val="en-GB" w:eastAsia="zh-CN"/>
        </w:rPr>
        <w:t>%～81.33%，病情指数</w:t>
      </w:r>
      <w:r>
        <w:rPr>
          <w:rFonts w:hint="eastAsia" w:ascii="仿宋_GB2312" w:hAnsi="宋体" w:eastAsia="仿宋_GB2312" w:cs="Times New Roman"/>
          <w:kern w:val="0"/>
          <w:sz w:val="32"/>
          <w:szCs w:val="32"/>
          <w:lang w:val="en-US" w:eastAsia="zh-CN"/>
        </w:rPr>
        <w:t>57.11</w:t>
      </w:r>
      <w:r>
        <w:rPr>
          <w:rFonts w:hint="eastAsia" w:ascii="仿宋_GB2312" w:hAnsi="宋体" w:eastAsia="仿宋_GB2312" w:cs="Times New Roman"/>
          <w:kern w:val="0"/>
          <w:sz w:val="32"/>
          <w:szCs w:val="32"/>
          <w:lang w:val="en-GB" w:eastAsia="zh-CN"/>
        </w:rPr>
        <w:t>%～</w:t>
      </w:r>
      <w:r>
        <w:rPr>
          <w:rFonts w:hint="eastAsia" w:ascii="仿宋_GB2312" w:hAnsi="宋体" w:eastAsia="仿宋_GB2312" w:cs="Times New Roman"/>
          <w:kern w:val="0"/>
          <w:sz w:val="32"/>
          <w:szCs w:val="32"/>
          <w:lang w:val="en-US" w:eastAsia="zh-CN"/>
        </w:rPr>
        <w:t>69</w:t>
      </w:r>
      <w:r>
        <w:rPr>
          <w:rFonts w:hint="eastAsia" w:ascii="仿宋_GB2312" w:hAnsi="宋体" w:eastAsia="仿宋_GB2312" w:cs="Times New Roman"/>
          <w:kern w:val="0"/>
          <w:sz w:val="32"/>
          <w:szCs w:val="32"/>
          <w:lang w:val="en-GB" w:eastAsia="zh-CN"/>
        </w:rPr>
        <w:t>.44%，表现为中感（</w:t>
      </w:r>
      <w:r>
        <w:rPr>
          <w:rFonts w:hint="eastAsia" w:ascii="仿宋_GB2312" w:hAnsi="宋体" w:eastAsia="仿宋_GB2312" w:cs="Times New Roman"/>
          <w:kern w:val="0"/>
          <w:sz w:val="32"/>
          <w:szCs w:val="32"/>
          <w:lang w:val="en-US" w:eastAsia="zh-CN"/>
        </w:rPr>
        <w:t>M</w:t>
      </w:r>
      <w:r>
        <w:rPr>
          <w:rFonts w:hint="eastAsia" w:ascii="仿宋_GB2312" w:hAnsi="宋体" w:eastAsia="仿宋_GB2312" w:cs="Times New Roman"/>
          <w:kern w:val="0"/>
          <w:sz w:val="32"/>
          <w:szCs w:val="32"/>
          <w:lang w:val="en-GB" w:eastAsia="zh-CN"/>
        </w:rPr>
        <w:t>S）；德高娃发病率100%，病情指数77.78%，属于高感（HS）品种。</w:t>
      </w:r>
    </w:p>
    <w:p w14:paraId="4212B31C">
      <w:pPr>
        <w:pStyle w:val="2"/>
        <w:keepNext/>
        <w:keepLines w:val="0"/>
        <w:pageBreakBefore w:val="0"/>
        <w:widowControl/>
        <w:kinsoku/>
        <w:wordWrap/>
        <w:overflowPunct/>
        <w:topLinePunct w:val="0"/>
        <w:autoSpaceDE/>
        <w:autoSpaceDN/>
        <w:bidi w:val="0"/>
        <w:adjustRightInd/>
        <w:snapToGrid/>
        <w:spacing w:after="120"/>
        <w:jc w:val="center"/>
        <w:textAlignment w:val="auto"/>
        <w:rPr>
          <w:rFonts w:hint="eastAsia" w:ascii="仿宋_GB2312" w:hAnsi="宋体" w:eastAsia="仿宋_GB2312" w:cs="Times New Roman"/>
          <w:kern w:val="0"/>
          <w:sz w:val="21"/>
          <w:szCs w:val="21"/>
          <w:lang w:val="en-GB" w:eastAsia="zh-CN"/>
        </w:rPr>
      </w:pPr>
      <w:r>
        <w:rPr>
          <w:rFonts w:hint="eastAsia" w:ascii="仿宋" w:hAnsi="仿宋" w:eastAsia="仿宋" w:cs="仿宋"/>
          <w:sz w:val="21"/>
          <w:szCs w:val="21"/>
        </w:rPr>
        <w:t xml:space="preserve">表 </w:t>
      </w:r>
      <w:r>
        <w:rPr>
          <w:rFonts w:hint="eastAsia" w:ascii="仿宋" w:hAnsi="仿宋" w:eastAsia="仿宋" w:cs="仿宋"/>
          <w:sz w:val="21"/>
          <w:szCs w:val="21"/>
          <w:lang w:val="en-US" w:eastAsia="zh-CN"/>
        </w:rPr>
        <w:t xml:space="preserve">3 </w:t>
      </w:r>
      <w:r>
        <w:rPr>
          <w:rFonts w:hint="eastAsia" w:ascii="仿宋" w:hAnsi="仿宋" w:eastAsia="仿宋" w:cs="仿宋"/>
          <w:sz w:val="21"/>
          <w:szCs w:val="21"/>
        </w:rPr>
        <w:t>参试品种对</w:t>
      </w:r>
      <w:r>
        <w:rPr>
          <w:rFonts w:hint="eastAsia" w:ascii="仿宋" w:hAnsi="仿宋" w:eastAsia="仿宋" w:cs="仿宋"/>
          <w:sz w:val="21"/>
          <w:szCs w:val="21"/>
          <w:lang w:eastAsia="zh-CN"/>
        </w:rPr>
        <w:t>黄萎</w:t>
      </w:r>
      <w:r>
        <w:rPr>
          <w:rFonts w:hint="eastAsia" w:ascii="仿宋" w:hAnsi="仿宋" w:eastAsia="仿宋" w:cs="仿宋"/>
          <w:sz w:val="21"/>
          <w:szCs w:val="21"/>
        </w:rPr>
        <w:t>病抗性鉴定结果</w:t>
      </w:r>
    </w:p>
    <w:tbl>
      <w:tblPr>
        <w:tblStyle w:val="8"/>
        <w:tblW w:w="8528"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21"/>
        <w:gridCol w:w="1421"/>
        <w:gridCol w:w="1421"/>
        <w:gridCol w:w="1421"/>
        <w:gridCol w:w="1422"/>
        <w:gridCol w:w="1422"/>
      </w:tblGrid>
      <w:tr w14:paraId="7378DD8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1" w:type="dxa"/>
            <w:tcBorders>
              <w:bottom w:val="single" w:color="auto" w:sz="8" w:space="0"/>
              <w:tl2br w:val="nil"/>
              <w:tr2bl w:val="nil"/>
            </w:tcBorders>
            <w:shd w:val="clear" w:color="auto" w:fill="auto"/>
            <w:vAlign w:val="center"/>
          </w:tcPr>
          <w:p w14:paraId="6B856EB6">
            <w:pPr>
              <w:keepNext w:val="0"/>
              <w:keepLines w:val="0"/>
              <w:widowControl/>
              <w:suppressLineNumbers w:val="0"/>
              <w:wordWrap/>
              <w:spacing w:before="0" w:beforeAutospacing="0" w:after="0" w:afterAutospacing="0" w:line="240" w:lineRule="atLeast"/>
              <w:ind w:left="0" w:leftChars="0" w:right="0" w:firstLine="0" w:firstLineChars="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rPr>
              <w:t>编号</w:t>
            </w:r>
          </w:p>
        </w:tc>
        <w:tc>
          <w:tcPr>
            <w:tcW w:w="1421" w:type="dxa"/>
            <w:tcBorders>
              <w:bottom w:val="single" w:color="auto" w:sz="8" w:space="0"/>
              <w:tl2br w:val="nil"/>
              <w:tr2bl w:val="nil"/>
            </w:tcBorders>
            <w:shd w:val="clear" w:color="auto" w:fill="auto"/>
            <w:vAlign w:val="center"/>
          </w:tcPr>
          <w:p w14:paraId="3CC6829A">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rPr>
              <w:t>品种名称</w:t>
            </w:r>
          </w:p>
        </w:tc>
        <w:tc>
          <w:tcPr>
            <w:tcW w:w="1421" w:type="dxa"/>
            <w:tcBorders>
              <w:bottom w:val="single" w:color="auto" w:sz="8" w:space="0"/>
              <w:tl2br w:val="nil"/>
              <w:tr2bl w:val="nil"/>
            </w:tcBorders>
            <w:shd w:val="clear" w:color="auto" w:fill="auto"/>
            <w:vAlign w:val="center"/>
          </w:tcPr>
          <w:p w14:paraId="16161CE2">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rPr>
              <w:t>类型</w:t>
            </w:r>
          </w:p>
        </w:tc>
        <w:tc>
          <w:tcPr>
            <w:tcW w:w="1421" w:type="dxa"/>
            <w:tcBorders>
              <w:bottom w:val="single" w:color="auto" w:sz="8" w:space="0"/>
              <w:tl2br w:val="nil"/>
              <w:tr2bl w:val="nil"/>
            </w:tcBorders>
            <w:shd w:val="clear" w:color="auto" w:fill="auto"/>
            <w:vAlign w:val="center"/>
          </w:tcPr>
          <w:p w14:paraId="7C711616">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rPr>
              <w:t>发病率（%）</w:t>
            </w:r>
          </w:p>
        </w:tc>
        <w:tc>
          <w:tcPr>
            <w:tcW w:w="1422" w:type="dxa"/>
            <w:tcBorders>
              <w:bottom w:val="single" w:color="auto" w:sz="8" w:space="0"/>
              <w:tl2br w:val="nil"/>
              <w:tr2bl w:val="nil"/>
            </w:tcBorders>
            <w:shd w:val="clear" w:color="auto" w:fill="auto"/>
            <w:vAlign w:val="center"/>
          </w:tcPr>
          <w:p w14:paraId="462464DD">
            <w:pPr>
              <w:keepNext w:val="0"/>
              <w:keepLines w:val="0"/>
              <w:widowControl/>
              <w:suppressLineNumbers w:val="0"/>
              <w:wordWrap/>
              <w:spacing w:before="0" w:beforeAutospacing="0" w:after="0" w:afterAutospacing="0" w:line="240" w:lineRule="atLeast"/>
              <w:ind w:left="0" w:leftChars="0" w:right="0" w:firstLine="0" w:firstLineChars="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rPr>
              <w:t>病情指数（%）</w:t>
            </w:r>
          </w:p>
        </w:tc>
        <w:tc>
          <w:tcPr>
            <w:tcW w:w="1422" w:type="dxa"/>
            <w:tcBorders>
              <w:bottom w:val="single" w:color="auto" w:sz="8" w:space="0"/>
              <w:tl2br w:val="nil"/>
              <w:tr2bl w:val="nil"/>
            </w:tcBorders>
            <w:shd w:val="clear" w:color="auto" w:fill="auto"/>
            <w:vAlign w:val="center"/>
          </w:tcPr>
          <w:p w14:paraId="6EC323F0">
            <w:pPr>
              <w:keepNext w:val="0"/>
              <w:keepLines w:val="0"/>
              <w:widowControl/>
              <w:suppressLineNumbers w:val="0"/>
              <w:wordWrap/>
              <w:spacing w:before="0" w:beforeAutospacing="0" w:after="0" w:afterAutospacing="0" w:line="240" w:lineRule="atLeast"/>
              <w:ind w:left="0" w:leftChars="0" w:right="0" w:firstLine="0" w:firstLineChars="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rPr>
              <w:t>品种抗性</w:t>
            </w:r>
          </w:p>
        </w:tc>
      </w:tr>
      <w:tr w14:paraId="5E33900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21" w:type="dxa"/>
            <w:tcBorders>
              <w:top w:val="single" w:color="auto" w:sz="8" w:space="0"/>
            </w:tcBorders>
          </w:tcPr>
          <w:p w14:paraId="5B332ED1">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w:t>
            </w:r>
          </w:p>
        </w:tc>
        <w:tc>
          <w:tcPr>
            <w:tcW w:w="1421" w:type="dxa"/>
            <w:tcBorders>
              <w:top w:val="single" w:color="auto" w:sz="8" w:space="0"/>
            </w:tcBorders>
          </w:tcPr>
          <w:p w14:paraId="2ED9CD2C">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rPr>
            </w:pPr>
            <w:r>
              <w:rPr>
                <w:rFonts w:hint="eastAsia" w:ascii="仿宋" w:hAnsi="仿宋" w:eastAsia="仿宋" w:cs="仿宋"/>
                <w:color w:val="000000"/>
                <w:kern w:val="0"/>
                <w:sz w:val="18"/>
                <w:szCs w:val="18"/>
                <w:lang w:val="en-US" w:eastAsia="zh-CN" w:bidi="ar-SA"/>
              </w:rPr>
              <w:t>华耐B1102</w:t>
            </w:r>
          </w:p>
        </w:tc>
        <w:tc>
          <w:tcPr>
            <w:tcW w:w="1421" w:type="dxa"/>
            <w:tcBorders>
              <w:top w:val="single" w:color="auto" w:sz="8" w:space="0"/>
            </w:tcBorders>
            <w:shd w:val="clear" w:color="auto" w:fill="auto"/>
            <w:vAlign w:val="center"/>
          </w:tcPr>
          <w:p w14:paraId="6B8C52FD">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eastAsia="zh-CN"/>
              </w:rPr>
              <w:t>结球白菜</w:t>
            </w:r>
          </w:p>
        </w:tc>
        <w:tc>
          <w:tcPr>
            <w:tcW w:w="1421" w:type="dxa"/>
            <w:tcBorders>
              <w:top w:val="single" w:color="auto" w:sz="8" w:space="0"/>
            </w:tcBorders>
          </w:tcPr>
          <w:p w14:paraId="5DCAF1D8">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16.67</w:t>
            </w:r>
          </w:p>
        </w:tc>
        <w:tc>
          <w:tcPr>
            <w:tcW w:w="1422" w:type="dxa"/>
            <w:tcBorders>
              <w:top w:val="single" w:color="auto" w:sz="8" w:space="0"/>
            </w:tcBorders>
          </w:tcPr>
          <w:p w14:paraId="467C2A9D">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6.94</w:t>
            </w:r>
          </w:p>
        </w:tc>
        <w:tc>
          <w:tcPr>
            <w:tcW w:w="1422" w:type="dxa"/>
            <w:tcBorders>
              <w:top w:val="single" w:color="auto" w:sz="8" w:space="0"/>
            </w:tcBorders>
          </w:tcPr>
          <w:p w14:paraId="18187FBF">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HR</w:t>
            </w:r>
          </w:p>
        </w:tc>
      </w:tr>
      <w:tr w14:paraId="036C938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1" w:type="dxa"/>
          </w:tcPr>
          <w:p w14:paraId="7F2E8C96">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w:t>
            </w:r>
          </w:p>
        </w:tc>
        <w:tc>
          <w:tcPr>
            <w:tcW w:w="1421" w:type="dxa"/>
          </w:tcPr>
          <w:p w14:paraId="6873EF85">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rPr>
            </w:pPr>
            <w:r>
              <w:rPr>
                <w:rFonts w:hint="eastAsia" w:ascii="仿宋" w:hAnsi="仿宋" w:eastAsia="仿宋" w:cs="仿宋"/>
                <w:color w:val="000000"/>
                <w:kern w:val="0"/>
                <w:sz w:val="18"/>
                <w:szCs w:val="18"/>
                <w:lang w:val="en-US" w:eastAsia="zh-CN" w:bidi="ar-SA"/>
              </w:rPr>
              <w:t>金美黄</w:t>
            </w:r>
          </w:p>
        </w:tc>
        <w:tc>
          <w:tcPr>
            <w:tcW w:w="1421" w:type="dxa"/>
            <w:shd w:val="clear" w:color="auto" w:fill="auto"/>
            <w:vAlign w:val="center"/>
          </w:tcPr>
          <w:p w14:paraId="754E6A77">
            <w:pPr>
              <w:keepNext w:val="0"/>
              <w:keepLines w:val="0"/>
              <w:widowControl/>
              <w:suppressLineNumbers w:val="0"/>
              <w:wordWrap/>
              <w:spacing w:before="0" w:beforeAutospacing="0" w:after="0" w:afterAutospacing="0" w:line="240" w:lineRule="atLeast"/>
              <w:ind w:left="0" w:right="0" w:firstLine="180" w:firstLineChars="100"/>
              <w:jc w:val="both"/>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eastAsia="zh-CN"/>
              </w:rPr>
              <w:t>结球白菜</w:t>
            </w:r>
          </w:p>
        </w:tc>
        <w:tc>
          <w:tcPr>
            <w:tcW w:w="1421" w:type="dxa"/>
          </w:tcPr>
          <w:p w14:paraId="08E80DB3">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25</w:t>
            </w:r>
          </w:p>
        </w:tc>
        <w:tc>
          <w:tcPr>
            <w:tcW w:w="1422" w:type="dxa"/>
          </w:tcPr>
          <w:p w14:paraId="76A6EE3F">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8.11</w:t>
            </w:r>
          </w:p>
        </w:tc>
        <w:tc>
          <w:tcPr>
            <w:tcW w:w="1422" w:type="dxa"/>
          </w:tcPr>
          <w:p w14:paraId="6C7365E3">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HR</w:t>
            </w:r>
          </w:p>
        </w:tc>
      </w:tr>
      <w:tr w14:paraId="000D81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1" w:type="dxa"/>
          </w:tcPr>
          <w:p w14:paraId="0C3B89DA">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3</w:t>
            </w:r>
          </w:p>
        </w:tc>
        <w:tc>
          <w:tcPr>
            <w:tcW w:w="1421" w:type="dxa"/>
            <w:shd w:val="clear" w:color="auto" w:fill="auto"/>
            <w:vAlign w:val="center"/>
          </w:tcPr>
          <w:p w14:paraId="7CD93823">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val="en-US" w:eastAsia="zh-CN" w:bidi="ar-SA"/>
              </w:rPr>
              <w:t>大阪黄芯</w:t>
            </w:r>
          </w:p>
        </w:tc>
        <w:tc>
          <w:tcPr>
            <w:tcW w:w="1421" w:type="dxa"/>
            <w:shd w:val="clear" w:color="auto" w:fill="auto"/>
            <w:vAlign w:val="center"/>
          </w:tcPr>
          <w:p w14:paraId="42B3CE64">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eastAsia="zh-CN"/>
              </w:rPr>
              <w:t>结球白菜</w:t>
            </w:r>
          </w:p>
        </w:tc>
        <w:tc>
          <w:tcPr>
            <w:tcW w:w="1421" w:type="dxa"/>
            <w:shd w:val="clear" w:color="auto" w:fill="auto"/>
            <w:vAlign w:val="top"/>
          </w:tcPr>
          <w:p w14:paraId="0B6DD62F">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bidi="ar-SA"/>
              </w:rPr>
            </w:pPr>
            <w:r>
              <w:rPr>
                <w:rFonts w:hint="eastAsia" w:ascii="仿宋" w:hAnsi="仿宋" w:eastAsia="仿宋" w:cs="仿宋"/>
                <w:color w:val="000000"/>
                <w:kern w:val="0"/>
                <w:sz w:val="18"/>
                <w:szCs w:val="18"/>
                <w:lang w:val="en-US" w:eastAsia="zh-CN"/>
              </w:rPr>
              <w:t>33.33</w:t>
            </w:r>
          </w:p>
        </w:tc>
        <w:tc>
          <w:tcPr>
            <w:tcW w:w="1422" w:type="dxa"/>
          </w:tcPr>
          <w:p w14:paraId="2FB1B7C1">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22.22</w:t>
            </w:r>
          </w:p>
        </w:tc>
        <w:tc>
          <w:tcPr>
            <w:tcW w:w="1422" w:type="dxa"/>
          </w:tcPr>
          <w:p w14:paraId="5867AF63">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R</w:t>
            </w:r>
          </w:p>
        </w:tc>
      </w:tr>
      <w:tr w14:paraId="4E5AA07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1" w:type="dxa"/>
            <w:tcBorders>
              <w:tl2br w:val="nil"/>
              <w:tr2bl w:val="nil"/>
            </w:tcBorders>
          </w:tcPr>
          <w:p w14:paraId="5897C44A">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4</w:t>
            </w:r>
          </w:p>
        </w:tc>
        <w:tc>
          <w:tcPr>
            <w:tcW w:w="1421" w:type="dxa"/>
            <w:tcBorders>
              <w:tl2br w:val="nil"/>
              <w:tr2bl w:val="nil"/>
            </w:tcBorders>
            <w:shd w:val="clear" w:color="auto" w:fill="auto"/>
            <w:vAlign w:val="center"/>
          </w:tcPr>
          <w:p w14:paraId="0D065006">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val="en-US" w:eastAsia="zh-CN"/>
              </w:rPr>
              <w:t>顺金5号</w:t>
            </w:r>
          </w:p>
        </w:tc>
        <w:tc>
          <w:tcPr>
            <w:tcW w:w="1421" w:type="dxa"/>
            <w:tcBorders>
              <w:tl2br w:val="nil"/>
              <w:tr2bl w:val="nil"/>
            </w:tcBorders>
            <w:shd w:val="clear" w:color="auto" w:fill="auto"/>
            <w:vAlign w:val="center"/>
          </w:tcPr>
          <w:p w14:paraId="256A0AB8">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eastAsia="zh-CN"/>
              </w:rPr>
              <w:t>结球白菜</w:t>
            </w:r>
          </w:p>
        </w:tc>
        <w:tc>
          <w:tcPr>
            <w:tcW w:w="1421" w:type="dxa"/>
            <w:tcBorders>
              <w:tl2br w:val="nil"/>
              <w:tr2bl w:val="nil"/>
            </w:tcBorders>
            <w:shd w:val="clear" w:color="auto" w:fill="auto"/>
            <w:vAlign w:val="top"/>
          </w:tcPr>
          <w:p w14:paraId="37E0CFA9">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bidi="ar-SA"/>
              </w:rPr>
            </w:pPr>
            <w:r>
              <w:rPr>
                <w:rFonts w:hint="eastAsia" w:ascii="仿宋" w:hAnsi="仿宋" w:eastAsia="仿宋" w:cs="仿宋"/>
                <w:color w:val="000000"/>
                <w:kern w:val="0"/>
                <w:sz w:val="18"/>
                <w:szCs w:val="18"/>
                <w:lang w:val="en-US" w:eastAsia="zh-CN"/>
              </w:rPr>
              <w:t>41.67</w:t>
            </w:r>
          </w:p>
        </w:tc>
        <w:tc>
          <w:tcPr>
            <w:tcW w:w="1422" w:type="dxa"/>
            <w:tcBorders>
              <w:tl2br w:val="nil"/>
              <w:tr2bl w:val="nil"/>
            </w:tcBorders>
          </w:tcPr>
          <w:p w14:paraId="5071CCFA">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25</w:t>
            </w:r>
          </w:p>
        </w:tc>
        <w:tc>
          <w:tcPr>
            <w:tcW w:w="1422" w:type="dxa"/>
            <w:tcBorders>
              <w:tl2br w:val="nil"/>
              <w:tr2bl w:val="nil"/>
            </w:tcBorders>
          </w:tcPr>
          <w:p w14:paraId="34EB329D">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R</w:t>
            </w:r>
          </w:p>
        </w:tc>
      </w:tr>
      <w:tr w14:paraId="562F85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1" w:type="dxa"/>
            <w:tcBorders>
              <w:tl2br w:val="nil"/>
              <w:tr2bl w:val="nil"/>
            </w:tcBorders>
          </w:tcPr>
          <w:p w14:paraId="1BD8ABF1">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w:t>
            </w:r>
          </w:p>
        </w:tc>
        <w:tc>
          <w:tcPr>
            <w:tcW w:w="1421" w:type="dxa"/>
            <w:tcBorders>
              <w:tl2br w:val="nil"/>
              <w:tr2bl w:val="nil"/>
            </w:tcBorders>
            <w:shd w:val="clear" w:color="auto" w:fill="auto"/>
            <w:vAlign w:val="center"/>
          </w:tcPr>
          <w:p w14:paraId="06CEA3C7">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val="en-US" w:eastAsia="zh-CN" w:bidi="ar-SA"/>
              </w:rPr>
              <w:t>皇太极</w:t>
            </w:r>
          </w:p>
        </w:tc>
        <w:tc>
          <w:tcPr>
            <w:tcW w:w="1421" w:type="dxa"/>
            <w:tcBorders>
              <w:tl2br w:val="nil"/>
              <w:tr2bl w:val="nil"/>
            </w:tcBorders>
            <w:shd w:val="clear" w:color="auto" w:fill="auto"/>
            <w:vAlign w:val="center"/>
          </w:tcPr>
          <w:p w14:paraId="74ED39AC">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eastAsia="zh-CN"/>
              </w:rPr>
              <w:t>结球白菜</w:t>
            </w:r>
          </w:p>
        </w:tc>
        <w:tc>
          <w:tcPr>
            <w:tcW w:w="1421" w:type="dxa"/>
            <w:tcBorders>
              <w:tl2br w:val="nil"/>
              <w:tr2bl w:val="nil"/>
            </w:tcBorders>
            <w:shd w:val="clear" w:color="auto" w:fill="auto"/>
            <w:vAlign w:val="top"/>
          </w:tcPr>
          <w:p w14:paraId="11951103">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bidi="ar-SA"/>
              </w:rPr>
            </w:pPr>
            <w:r>
              <w:rPr>
                <w:rFonts w:hint="eastAsia" w:ascii="仿宋" w:hAnsi="仿宋" w:eastAsia="仿宋" w:cs="仿宋"/>
                <w:color w:val="000000"/>
                <w:kern w:val="0"/>
                <w:sz w:val="18"/>
                <w:szCs w:val="18"/>
                <w:lang w:val="en-US" w:eastAsia="zh-CN" w:bidi="ar-SA"/>
              </w:rPr>
              <w:t>41.67</w:t>
            </w:r>
          </w:p>
        </w:tc>
        <w:tc>
          <w:tcPr>
            <w:tcW w:w="1422" w:type="dxa"/>
            <w:tcBorders>
              <w:tl2br w:val="nil"/>
              <w:tr2bl w:val="nil"/>
            </w:tcBorders>
          </w:tcPr>
          <w:p w14:paraId="1866DD52">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26.39</w:t>
            </w:r>
          </w:p>
        </w:tc>
        <w:tc>
          <w:tcPr>
            <w:tcW w:w="1422" w:type="dxa"/>
            <w:tcBorders>
              <w:tl2br w:val="nil"/>
              <w:tr2bl w:val="nil"/>
            </w:tcBorders>
          </w:tcPr>
          <w:p w14:paraId="17367A5D">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R</w:t>
            </w:r>
          </w:p>
        </w:tc>
      </w:tr>
      <w:tr w14:paraId="409DA50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1" w:type="dxa"/>
            <w:tcBorders>
              <w:tl2br w:val="nil"/>
              <w:tr2bl w:val="nil"/>
            </w:tcBorders>
          </w:tcPr>
          <w:p w14:paraId="1A9E6B7D">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6</w:t>
            </w:r>
          </w:p>
        </w:tc>
        <w:tc>
          <w:tcPr>
            <w:tcW w:w="1421" w:type="dxa"/>
            <w:tcBorders>
              <w:tl2br w:val="nil"/>
              <w:tr2bl w:val="nil"/>
            </w:tcBorders>
            <w:shd w:val="clear" w:color="auto" w:fill="auto"/>
            <w:vAlign w:val="center"/>
          </w:tcPr>
          <w:p w14:paraId="382BD05A">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val="en-US" w:eastAsia="zh-CN" w:bidi="ar-SA"/>
              </w:rPr>
              <w:t>金丫头</w:t>
            </w:r>
          </w:p>
        </w:tc>
        <w:tc>
          <w:tcPr>
            <w:tcW w:w="1421" w:type="dxa"/>
            <w:tcBorders>
              <w:tl2br w:val="nil"/>
              <w:tr2bl w:val="nil"/>
            </w:tcBorders>
            <w:shd w:val="clear" w:color="auto" w:fill="auto"/>
            <w:vAlign w:val="center"/>
          </w:tcPr>
          <w:p w14:paraId="27F75A92">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eastAsia="zh-CN"/>
              </w:rPr>
              <w:t>结球白菜</w:t>
            </w:r>
          </w:p>
        </w:tc>
        <w:tc>
          <w:tcPr>
            <w:tcW w:w="1421" w:type="dxa"/>
            <w:tcBorders>
              <w:tl2br w:val="nil"/>
              <w:tr2bl w:val="nil"/>
            </w:tcBorders>
          </w:tcPr>
          <w:p w14:paraId="32AC3007">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41.67</w:t>
            </w:r>
          </w:p>
        </w:tc>
        <w:tc>
          <w:tcPr>
            <w:tcW w:w="1422" w:type="dxa"/>
            <w:tcBorders>
              <w:tl2br w:val="nil"/>
              <w:tr2bl w:val="nil"/>
            </w:tcBorders>
          </w:tcPr>
          <w:p w14:paraId="28F3EAD4">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30.56</w:t>
            </w:r>
          </w:p>
        </w:tc>
        <w:tc>
          <w:tcPr>
            <w:tcW w:w="1422" w:type="dxa"/>
            <w:tcBorders>
              <w:tl2br w:val="nil"/>
              <w:tr2bl w:val="nil"/>
            </w:tcBorders>
          </w:tcPr>
          <w:p w14:paraId="7FE2233C">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R</w:t>
            </w:r>
          </w:p>
        </w:tc>
      </w:tr>
      <w:tr w14:paraId="30F1FD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1" w:type="dxa"/>
            <w:tcBorders>
              <w:tl2br w:val="nil"/>
              <w:tr2bl w:val="nil"/>
            </w:tcBorders>
          </w:tcPr>
          <w:p w14:paraId="6B277B6E">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7</w:t>
            </w:r>
          </w:p>
        </w:tc>
        <w:tc>
          <w:tcPr>
            <w:tcW w:w="1421" w:type="dxa"/>
            <w:tcBorders>
              <w:tl2br w:val="nil"/>
              <w:tr2bl w:val="nil"/>
            </w:tcBorders>
            <w:shd w:val="clear" w:color="auto" w:fill="auto"/>
            <w:vAlign w:val="center"/>
          </w:tcPr>
          <w:p w14:paraId="6DF1297A">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val="en-US" w:eastAsia="zh-CN" w:bidi="ar-SA"/>
              </w:rPr>
              <w:t>春美黄</w:t>
            </w:r>
          </w:p>
        </w:tc>
        <w:tc>
          <w:tcPr>
            <w:tcW w:w="1421" w:type="dxa"/>
            <w:tcBorders>
              <w:tl2br w:val="nil"/>
              <w:tr2bl w:val="nil"/>
            </w:tcBorders>
            <w:shd w:val="clear" w:color="auto" w:fill="auto"/>
            <w:vAlign w:val="center"/>
          </w:tcPr>
          <w:p w14:paraId="77793CEC">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eastAsia="zh-CN"/>
              </w:rPr>
              <w:t>结球白菜</w:t>
            </w:r>
          </w:p>
        </w:tc>
        <w:tc>
          <w:tcPr>
            <w:tcW w:w="1421" w:type="dxa"/>
            <w:tcBorders>
              <w:tl2br w:val="nil"/>
              <w:tr2bl w:val="nil"/>
            </w:tcBorders>
          </w:tcPr>
          <w:p w14:paraId="5C2CDF95">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50</w:t>
            </w:r>
          </w:p>
        </w:tc>
        <w:tc>
          <w:tcPr>
            <w:tcW w:w="1422" w:type="dxa"/>
            <w:tcBorders>
              <w:tl2br w:val="nil"/>
              <w:tr2bl w:val="nil"/>
            </w:tcBorders>
          </w:tcPr>
          <w:p w14:paraId="56155A90">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34.72</w:t>
            </w:r>
          </w:p>
        </w:tc>
        <w:tc>
          <w:tcPr>
            <w:tcW w:w="1422" w:type="dxa"/>
            <w:tcBorders>
              <w:tl2br w:val="nil"/>
              <w:tr2bl w:val="nil"/>
            </w:tcBorders>
          </w:tcPr>
          <w:p w14:paraId="680A92B3">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R</w:t>
            </w:r>
          </w:p>
        </w:tc>
      </w:tr>
      <w:tr w14:paraId="0A85F30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1" w:type="dxa"/>
            <w:tcBorders>
              <w:tl2br w:val="nil"/>
              <w:tr2bl w:val="nil"/>
            </w:tcBorders>
          </w:tcPr>
          <w:p w14:paraId="03AEF351">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8</w:t>
            </w:r>
          </w:p>
        </w:tc>
        <w:tc>
          <w:tcPr>
            <w:tcW w:w="1421" w:type="dxa"/>
            <w:tcBorders>
              <w:tl2br w:val="nil"/>
              <w:tr2bl w:val="nil"/>
            </w:tcBorders>
            <w:shd w:val="clear" w:color="auto" w:fill="auto"/>
            <w:vAlign w:val="center"/>
          </w:tcPr>
          <w:p w14:paraId="496F433A">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val="en-US" w:eastAsia="zh-CN" w:bidi="ar-SA"/>
              </w:rPr>
              <w:t>九龙黄金</w:t>
            </w:r>
          </w:p>
        </w:tc>
        <w:tc>
          <w:tcPr>
            <w:tcW w:w="1421" w:type="dxa"/>
            <w:tcBorders>
              <w:tl2br w:val="nil"/>
              <w:tr2bl w:val="nil"/>
            </w:tcBorders>
            <w:shd w:val="clear" w:color="auto" w:fill="auto"/>
            <w:vAlign w:val="center"/>
          </w:tcPr>
          <w:p w14:paraId="04EC36A1">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eastAsia="zh-CN"/>
              </w:rPr>
              <w:t>结球白菜</w:t>
            </w:r>
          </w:p>
        </w:tc>
        <w:tc>
          <w:tcPr>
            <w:tcW w:w="1421" w:type="dxa"/>
            <w:tcBorders>
              <w:tl2br w:val="nil"/>
              <w:tr2bl w:val="nil"/>
            </w:tcBorders>
          </w:tcPr>
          <w:p w14:paraId="3D02EAF6">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50</w:t>
            </w:r>
          </w:p>
        </w:tc>
        <w:tc>
          <w:tcPr>
            <w:tcW w:w="1422" w:type="dxa"/>
            <w:tcBorders>
              <w:tl2br w:val="nil"/>
              <w:tr2bl w:val="nil"/>
            </w:tcBorders>
          </w:tcPr>
          <w:p w14:paraId="5CECC149">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40.28</w:t>
            </w:r>
          </w:p>
        </w:tc>
        <w:tc>
          <w:tcPr>
            <w:tcW w:w="1422" w:type="dxa"/>
            <w:tcBorders>
              <w:tl2br w:val="nil"/>
              <w:tr2bl w:val="nil"/>
            </w:tcBorders>
          </w:tcPr>
          <w:p w14:paraId="6E0CBCDA">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MR</w:t>
            </w:r>
          </w:p>
        </w:tc>
      </w:tr>
      <w:tr w14:paraId="61B75DE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1" w:type="dxa"/>
            <w:tcBorders>
              <w:tl2br w:val="nil"/>
              <w:tr2bl w:val="nil"/>
            </w:tcBorders>
          </w:tcPr>
          <w:p w14:paraId="2346AABC">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9</w:t>
            </w:r>
          </w:p>
        </w:tc>
        <w:tc>
          <w:tcPr>
            <w:tcW w:w="1421" w:type="dxa"/>
            <w:tcBorders>
              <w:tl2br w:val="nil"/>
              <w:tr2bl w:val="nil"/>
            </w:tcBorders>
            <w:shd w:val="clear" w:color="auto" w:fill="auto"/>
            <w:vAlign w:val="center"/>
          </w:tcPr>
          <w:p w14:paraId="1D807667">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val="en-US" w:eastAsia="zh-CN" w:bidi="ar-SA"/>
              </w:rPr>
              <w:t>玲珑</w:t>
            </w:r>
          </w:p>
        </w:tc>
        <w:tc>
          <w:tcPr>
            <w:tcW w:w="1421" w:type="dxa"/>
            <w:tcBorders>
              <w:tl2br w:val="nil"/>
              <w:tr2bl w:val="nil"/>
            </w:tcBorders>
            <w:shd w:val="clear" w:color="auto" w:fill="auto"/>
            <w:vAlign w:val="center"/>
          </w:tcPr>
          <w:p w14:paraId="2F4B7976">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eastAsia="zh-CN"/>
              </w:rPr>
              <w:t>结球白菜</w:t>
            </w:r>
          </w:p>
        </w:tc>
        <w:tc>
          <w:tcPr>
            <w:tcW w:w="1421" w:type="dxa"/>
            <w:tcBorders>
              <w:tl2br w:val="nil"/>
              <w:tr2bl w:val="nil"/>
            </w:tcBorders>
          </w:tcPr>
          <w:p w14:paraId="0AB82C64">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58.33</w:t>
            </w:r>
          </w:p>
        </w:tc>
        <w:tc>
          <w:tcPr>
            <w:tcW w:w="1422" w:type="dxa"/>
            <w:tcBorders>
              <w:tl2br w:val="nil"/>
              <w:tr2bl w:val="nil"/>
            </w:tcBorders>
          </w:tcPr>
          <w:p w14:paraId="60080D3C">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44.22</w:t>
            </w:r>
          </w:p>
        </w:tc>
        <w:tc>
          <w:tcPr>
            <w:tcW w:w="1422" w:type="dxa"/>
            <w:tcBorders>
              <w:tl2br w:val="nil"/>
              <w:tr2bl w:val="nil"/>
            </w:tcBorders>
          </w:tcPr>
          <w:p w14:paraId="2C83C159">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MR</w:t>
            </w:r>
          </w:p>
        </w:tc>
      </w:tr>
      <w:tr w14:paraId="2A58037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1" w:type="dxa"/>
            <w:tcBorders>
              <w:tl2br w:val="nil"/>
              <w:tr2bl w:val="nil"/>
            </w:tcBorders>
          </w:tcPr>
          <w:p w14:paraId="17681DFE">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w:t>
            </w:r>
          </w:p>
        </w:tc>
        <w:tc>
          <w:tcPr>
            <w:tcW w:w="1421" w:type="dxa"/>
            <w:tcBorders>
              <w:tl2br w:val="nil"/>
              <w:tr2bl w:val="nil"/>
            </w:tcBorders>
            <w:shd w:val="clear" w:color="auto" w:fill="auto"/>
            <w:vAlign w:val="center"/>
          </w:tcPr>
          <w:p w14:paraId="77F7C742">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val="en-US" w:eastAsia="zh-CN" w:bidi="ar-SA"/>
              </w:rPr>
              <w:t>田娃</w:t>
            </w:r>
          </w:p>
        </w:tc>
        <w:tc>
          <w:tcPr>
            <w:tcW w:w="1421" w:type="dxa"/>
            <w:tcBorders>
              <w:tl2br w:val="nil"/>
              <w:tr2bl w:val="nil"/>
            </w:tcBorders>
            <w:shd w:val="clear" w:color="auto" w:fill="auto"/>
            <w:vAlign w:val="center"/>
          </w:tcPr>
          <w:p w14:paraId="1C68C90C">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eastAsia="zh-CN"/>
              </w:rPr>
              <w:t>结球白菜</w:t>
            </w:r>
          </w:p>
        </w:tc>
        <w:tc>
          <w:tcPr>
            <w:tcW w:w="1421" w:type="dxa"/>
            <w:tcBorders>
              <w:tl2br w:val="nil"/>
              <w:tr2bl w:val="nil"/>
            </w:tcBorders>
          </w:tcPr>
          <w:p w14:paraId="7CE8E97D">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58.33</w:t>
            </w:r>
          </w:p>
        </w:tc>
        <w:tc>
          <w:tcPr>
            <w:tcW w:w="1422" w:type="dxa"/>
            <w:tcBorders>
              <w:tl2br w:val="nil"/>
              <w:tr2bl w:val="nil"/>
            </w:tcBorders>
          </w:tcPr>
          <w:p w14:paraId="060BF141">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44.82</w:t>
            </w:r>
          </w:p>
        </w:tc>
        <w:tc>
          <w:tcPr>
            <w:tcW w:w="1422" w:type="dxa"/>
            <w:tcBorders>
              <w:tl2br w:val="nil"/>
              <w:tr2bl w:val="nil"/>
            </w:tcBorders>
          </w:tcPr>
          <w:p w14:paraId="5EECE7AD">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MR</w:t>
            </w:r>
          </w:p>
        </w:tc>
      </w:tr>
      <w:tr w14:paraId="04659DD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1" w:type="dxa"/>
            <w:tcBorders>
              <w:tl2br w:val="nil"/>
              <w:tr2bl w:val="nil"/>
            </w:tcBorders>
          </w:tcPr>
          <w:p w14:paraId="3257C164">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11</w:t>
            </w:r>
          </w:p>
        </w:tc>
        <w:tc>
          <w:tcPr>
            <w:tcW w:w="1421" w:type="dxa"/>
            <w:tcBorders>
              <w:tl2br w:val="nil"/>
              <w:tr2bl w:val="nil"/>
            </w:tcBorders>
            <w:shd w:val="clear" w:color="auto" w:fill="auto"/>
            <w:vAlign w:val="center"/>
          </w:tcPr>
          <w:p w14:paraId="17148193">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val="en-US" w:eastAsia="zh-CN" w:bidi="ar-SA"/>
              </w:rPr>
              <w:t>高原寒</w:t>
            </w:r>
          </w:p>
        </w:tc>
        <w:tc>
          <w:tcPr>
            <w:tcW w:w="1421" w:type="dxa"/>
            <w:tcBorders>
              <w:tl2br w:val="nil"/>
              <w:tr2bl w:val="nil"/>
            </w:tcBorders>
            <w:shd w:val="clear" w:color="auto" w:fill="auto"/>
            <w:vAlign w:val="center"/>
          </w:tcPr>
          <w:p w14:paraId="06C8642F">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eastAsia="zh-CN"/>
              </w:rPr>
              <w:t>结球白菜</w:t>
            </w:r>
          </w:p>
        </w:tc>
        <w:tc>
          <w:tcPr>
            <w:tcW w:w="1421" w:type="dxa"/>
            <w:tcBorders>
              <w:tl2br w:val="nil"/>
              <w:tr2bl w:val="nil"/>
            </w:tcBorders>
          </w:tcPr>
          <w:p w14:paraId="41BB51A4">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66.67</w:t>
            </w:r>
          </w:p>
        </w:tc>
        <w:tc>
          <w:tcPr>
            <w:tcW w:w="1422" w:type="dxa"/>
            <w:tcBorders>
              <w:tl2br w:val="nil"/>
              <w:tr2bl w:val="nil"/>
            </w:tcBorders>
          </w:tcPr>
          <w:p w14:paraId="68785D0D">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54.17</w:t>
            </w:r>
          </w:p>
        </w:tc>
        <w:tc>
          <w:tcPr>
            <w:tcW w:w="1422" w:type="dxa"/>
            <w:tcBorders>
              <w:tl2br w:val="nil"/>
              <w:tr2bl w:val="nil"/>
            </w:tcBorders>
          </w:tcPr>
          <w:p w14:paraId="492F741A">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MR</w:t>
            </w:r>
          </w:p>
        </w:tc>
      </w:tr>
      <w:tr w14:paraId="4E5015C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1" w:type="dxa"/>
            <w:tcBorders>
              <w:tl2br w:val="nil"/>
              <w:tr2bl w:val="nil"/>
            </w:tcBorders>
          </w:tcPr>
          <w:p w14:paraId="1EC0F5AE">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12</w:t>
            </w:r>
          </w:p>
        </w:tc>
        <w:tc>
          <w:tcPr>
            <w:tcW w:w="1421" w:type="dxa"/>
            <w:tcBorders>
              <w:tl2br w:val="nil"/>
              <w:tr2bl w:val="nil"/>
            </w:tcBorders>
            <w:shd w:val="clear" w:color="auto" w:fill="auto"/>
            <w:vAlign w:val="center"/>
          </w:tcPr>
          <w:p w14:paraId="75602792">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val="en-US" w:eastAsia="zh-CN" w:bidi="ar-SA"/>
              </w:rPr>
              <w:t>四季王</w:t>
            </w:r>
          </w:p>
        </w:tc>
        <w:tc>
          <w:tcPr>
            <w:tcW w:w="1421" w:type="dxa"/>
            <w:tcBorders>
              <w:tl2br w:val="nil"/>
              <w:tr2bl w:val="nil"/>
            </w:tcBorders>
            <w:shd w:val="clear" w:color="auto" w:fill="auto"/>
            <w:vAlign w:val="center"/>
          </w:tcPr>
          <w:p w14:paraId="591D4EC4">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eastAsia="zh-CN"/>
              </w:rPr>
              <w:t>结球白菜</w:t>
            </w:r>
          </w:p>
        </w:tc>
        <w:tc>
          <w:tcPr>
            <w:tcW w:w="1421" w:type="dxa"/>
            <w:tcBorders>
              <w:tl2br w:val="nil"/>
              <w:tr2bl w:val="nil"/>
            </w:tcBorders>
          </w:tcPr>
          <w:p w14:paraId="0E66ED49">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75</w:t>
            </w:r>
          </w:p>
        </w:tc>
        <w:tc>
          <w:tcPr>
            <w:tcW w:w="1422" w:type="dxa"/>
            <w:tcBorders>
              <w:tl2br w:val="nil"/>
              <w:tr2bl w:val="nil"/>
            </w:tcBorders>
          </w:tcPr>
          <w:p w14:paraId="62A91828">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51.89</w:t>
            </w:r>
          </w:p>
        </w:tc>
        <w:tc>
          <w:tcPr>
            <w:tcW w:w="1422" w:type="dxa"/>
            <w:tcBorders>
              <w:tl2br w:val="nil"/>
              <w:tr2bl w:val="nil"/>
            </w:tcBorders>
          </w:tcPr>
          <w:p w14:paraId="6EE276CD">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MR</w:t>
            </w:r>
          </w:p>
        </w:tc>
      </w:tr>
      <w:tr w14:paraId="05AB61C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1" w:type="dxa"/>
            <w:tcBorders>
              <w:tl2br w:val="nil"/>
              <w:tr2bl w:val="nil"/>
            </w:tcBorders>
          </w:tcPr>
          <w:p w14:paraId="343C5346">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13</w:t>
            </w:r>
          </w:p>
        </w:tc>
        <w:tc>
          <w:tcPr>
            <w:tcW w:w="1421" w:type="dxa"/>
            <w:tcBorders>
              <w:tl2br w:val="nil"/>
              <w:tr2bl w:val="nil"/>
            </w:tcBorders>
            <w:shd w:val="clear" w:color="auto" w:fill="auto"/>
            <w:vAlign w:val="center"/>
          </w:tcPr>
          <w:p w14:paraId="29C8EF2F">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val="en-US" w:eastAsia="zh-CN" w:bidi="ar-SA"/>
              </w:rPr>
              <w:t>新美034</w:t>
            </w:r>
          </w:p>
        </w:tc>
        <w:tc>
          <w:tcPr>
            <w:tcW w:w="1421" w:type="dxa"/>
            <w:tcBorders>
              <w:tl2br w:val="nil"/>
              <w:tr2bl w:val="nil"/>
            </w:tcBorders>
            <w:shd w:val="clear" w:color="auto" w:fill="auto"/>
            <w:vAlign w:val="center"/>
          </w:tcPr>
          <w:p w14:paraId="3475E2E4">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eastAsia="zh-CN"/>
              </w:rPr>
              <w:t>结球白菜</w:t>
            </w:r>
          </w:p>
        </w:tc>
        <w:tc>
          <w:tcPr>
            <w:tcW w:w="1421" w:type="dxa"/>
            <w:tcBorders>
              <w:tl2br w:val="nil"/>
              <w:tr2bl w:val="nil"/>
            </w:tcBorders>
          </w:tcPr>
          <w:p w14:paraId="35BB40C2">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75</w:t>
            </w:r>
          </w:p>
        </w:tc>
        <w:tc>
          <w:tcPr>
            <w:tcW w:w="1422" w:type="dxa"/>
            <w:tcBorders>
              <w:tl2br w:val="nil"/>
              <w:tr2bl w:val="nil"/>
            </w:tcBorders>
          </w:tcPr>
          <w:p w14:paraId="4C979243">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57.11</w:t>
            </w:r>
          </w:p>
        </w:tc>
        <w:tc>
          <w:tcPr>
            <w:tcW w:w="1422" w:type="dxa"/>
            <w:tcBorders>
              <w:tl2br w:val="nil"/>
              <w:tr2bl w:val="nil"/>
            </w:tcBorders>
          </w:tcPr>
          <w:p w14:paraId="5A33A6B0">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MS</w:t>
            </w:r>
          </w:p>
        </w:tc>
      </w:tr>
      <w:tr w14:paraId="52BE1E7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1" w:type="dxa"/>
            <w:tcBorders>
              <w:tl2br w:val="nil"/>
              <w:tr2bl w:val="nil"/>
            </w:tcBorders>
          </w:tcPr>
          <w:p w14:paraId="230E0CAC">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14</w:t>
            </w:r>
          </w:p>
        </w:tc>
        <w:tc>
          <w:tcPr>
            <w:tcW w:w="1421" w:type="dxa"/>
            <w:tcBorders>
              <w:tl2br w:val="nil"/>
              <w:tr2bl w:val="nil"/>
            </w:tcBorders>
            <w:shd w:val="clear" w:color="auto" w:fill="auto"/>
            <w:vAlign w:val="center"/>
          </w:tcPr>
          <w:p w14:paraId="5FEC6592">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val="en-US" w:eastAsia="zh-CN" w:bidi="ar-SA"/>
              </w:rPr>
              <w:t>新星</w:t>
            </w:r>
          </w:p>
        </w:tc>
        <w:tc>
          <w:tcPr>
            <w:tcW w:w="1421" w:type="dxa"/>
            <w:tcBorders>
              <w:tl2br w:val="nil"/>
              <w:tr2bl w:val="nil"/>
            </w:tcBorders>
            <w:shd w:val="clear" w:color="auto" w:fill="auto"/>
            <w:vAlign w:val="center"/>
          </w:tcPr>
          <w:p w14:paraId="62875843">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bidi="ar-SA"/>
              </w:rPr>
            </w:pPr>
            <w:r>
              <w:rPr>
                <w:rFonts w:hint="eastAsia" w:ascii="仿宋" w:hAnsi="仿宋" w:eastAsia="仿宋" w:cs="仿宋"/>
                <w:color w:val="000000"/>
                <w:kern w:val="0"/>
                <w:sz w:val="18"/>
                <w:szCs w:val="18"/>
                <w:lang w:eastAsia="zh-CN"/>
              </w:rPr>
              <w:t>结球白菜</w:t>
            </w:r>
          </w:p>
        </w:tc>
        <w:tc>
          <w:tcPr>
            <w:tcW w:w="1421" w:type="dxa"/>
            <w:tcBorders>
              <w:tl2br w:val="nil"/>
              <w:tr2bl w:val="nil"/>
            </w:tcBorders>
          </w:tcPr>
          <w:p w14:paraId="2C2C8E25">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81.33</w:t>
            </w:r>
          </w:p>
        </w:tc>
        <w:tc>
          <w:tcPr>
            <w:tcW w:w="1422" w:type="dxa"/>
            <w:tcBorders>
              <w:tl2br w:val="nil"/>
              <w:tr2bl w:val="nil"/>
            </w:tcBorders>
          </w:tcPr>
          <w:p w14:paraId="0106C354">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69.44</w:t>
            </w:r>
          </w:p>
        </w:tc>
        <w:tc>
          <w:tcPr>
            <w:tcW w:w="1422" w:type="dxa"/>
            <w:tcBorders>
              <w:tl2br w:val="nil"/>
              <w:tr2bl w:val="nil"/>
            </w:tcBorders>
          </w:tcPr>
          <w:p w14:paraId="1FD3A0ED">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MS</w:t>
            </w:r>
          </w:p>
        </w:tc>
      </w:tr>
      <w:tr w14:paraId="116CB6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421" w:type="dxa"/>
            <w:tcBorders>
              <w:tl2br w:val="nil"/>
              <w:tr2bl w:val="nil"/>
            </w:tcBorders>
          </w:tcPr>
          <w:p w14:paraId="6D8C789A">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15</w:t>
            </w:r>
          </w:p>
        </w:tc>
        <w:tc>
          <w:tcPr>
            <w:tcW w:w="1421" w:type="dxa"/>
            <w:tcBorders>
              <w:tl2br w:val="nil"/>
              <w:tr2bl w:val="nil"/>
            </w:tcBorders>
          </w:tcPr>
          <w:p w14:paraId="4C7A7651">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rPr>
            </w:pPr>
            <w:r>
              <w:rPr>
                <w:rFonts w:hint="eastAsia" w:ascii="仿宋" w:hAnsi="仿宋" w:eastAsia="仿宋" w:cs="仿宋"/>
                <w:color w:val="000000"/>
                <w:kern w:val="0"/>
                <w:sz w:val="18"/>
                <w:szCs w:val="18"/>
                <w:lang w:val="en-US" w:eastAsia="zh-CN" w:bidi="ar-SA"/>
              </w:rPr>
              <w:t>德高娃</w:t>
            </w:r>
          </w:p>
        </w:tc>
        <w:tc>
          <w:tcPr>
            <w:tcW w:w="1421" w:type="dxa"/>
            <w:tcBorders>
              <w:tl2br w:val="nil"/>
              <w:tr2bl w:val="nil"/>
            </w:tcBorders>
          </w:tcPr>
          <w:p w14:paraId="2BC58E08">
            <w:pPr>
              <w:keepNext w:val="0"/>
              <w:keepLines w:val="0"/>
              <w:widowControl/>
              <w:suppressLineNumbers w:val="0"/>
              <w:wordWrap/>
              <w:spacing w:before="0" w:beforeAutospacing="0" w:after="0" w:afterAutospacing="0" w:line="240" w:lineRule="atLeast"/>
              <w:ind w:left="0" w:right="0"/>
              <w:jc w:val="center"/>
              <w:rPr>
                <w:rFonts w:hint="eastAsia" w:ascii="仿宋" w:hAnsi="仿宋" w:eastAsia="仿宋" w:cs="仿宋"/>
                <w:color w:val="000000"/>
                <w:kern w:val="0"/>
                <w:sz w:val="18"/>
                <w:szCs w:val="18"/>
                <w:lang w:val="en-GB" w:eastAsia="zh-CN"/>
              </w:rPr>
            </w:pPr>
            <w:r>
              <w:rPr>
                <w:rFonts w:hint="eastAsia" w:ascii="仿宋" w:hAnsi="仿宋" w:eastAsia="仿宋" w:cs="仿宋"/>
                <w:color w:val="000000"/>
                <w:kern w:val="0"/>
                <w:sz w:val="18"/>
                <w:szCs w:val="18"/>
                <w:lang w:eastAsia="zh-CN"/>
              </w:rPr>
              <w:t>结球白菜</w:t>
            </w:r>
          </w:p>
        </w:tc>
        <w:tc>
          <w:tcPr>
            <w:tcW w:w="1421" w:type="dxa"/>
            <w:tcBorders>
              <w:tl2br w:val="nil"/>
              <w:tr2bl w:val="nil"/>
            </w:tcBorders>
          </w:tcPr>
          <w:p w14:paraId="189C075A">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100</w:t>
            </w:r>
          </w:p>
        </w:tc>
        <w:tc>
          <w:tcPr>
            <w:tcW w:w="1422" w:type="dxa"/>
            <w:tcBorders>
              <w:tl2br w:val="nil"/>
              <w:tr2bl w:val="nil"/>
            </w:tcBorders>
          </w:tcPr>
          <w:p w14:paraId="04DD0FFF">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77.78</w:t>
            </w:r>
          </w:p>
        </w:tc>
        <w:tc>
          <w:tcPr>
            <w:tcW w:w="1422" w:type="dxa"/>
            <w:tcBorders>
              <w:tl2br w:val="nil"/>
              <w:tr2bl w:val="nil"/>
            </w:tcBorders>
          </w:tcPr>
          <w:p w14:paraId="6BED9BD2">
            <w:pPr>
              <w:keepNext w:val="0"/>
              <w:keepLines w:val="0"/>
              <w:widowControl/>
              <w:suppressLineNumbers w:val="0"/>
              <w:wordWrap/>
              <w:spacing w:before="0" w:beforeAutospacing="0" w:after="0" w:afterAutospacing="0" w:line="240" w:lineRule="atLeast"/>
              <w:ind w:left="0" w:right="0"/>
              <w:jc w:val="center"/>
              <w:rPr>
                <w:rFonts w:hint="default"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lang w:val="en-US" w:eastAsia="zh-CN"/>
              </w:rPr>
              <w:t>HS</w:t>
            </w:r>
          </w:p>
        </w:tc>
      </w:tr>
    </w:tbl>
    <w:p w14:paraId="4F226F54">
      <w:pPr>
        <w:keepNext w:val="0"/>
        <w:keepLines w:val="0"/>
        <w:pageBreakBefore w:val="0"/>
        <w:widowControl w:val="0"/>
        <w:kinsoku/>
        <w:wordWrap/>
        <w:overflowPunct/>
        <w:topLinePunct w:val="0"/>
        <w:autoSpaceDE/>
        <w:autoSpaceDN/>
        <w:bidi w:val="0"/>
        <w:adjustRightInd/>
        <w:snapToGrid/>
        <w:spacing w:before="157" w:beforeLines="50" w:line="360" w:lineRule="auto"/>
        <w:ind w:firstLine="640" w:firstLineChars="200"/>
        <w:textAlignment w:val="auto"/>
        <w:rPr>
          <w:rFonts w:hint="eastAsia" w:ascii="仿宋_GB2312" w:hAnsi="宋体" w:eastAsia="仿宋_GB2312" w:cs="Times New Roman"/>
          <w:kern w:val="0"/>
          <w:sz w:val="32"/>
          <w:szCs w:val="32"/>
          <w:lang w:val="en-US" w:eastAsia="zh-CN"/>
        </w:rPr>
      </w:pPr>
      <w:r>
        <w:rPr>
          <w:rFonts w:hint="eastAsia" w:ascii="仿宋_GB2312" w:hAnsi="宋体" w:eastAsia="仿宋_GB2312" w:cs="Times New Roman"/>
          <w:kern w:val="0"/>
          <w:sz w:val="32"/>
          <w:szCs w:val="32"/>
          <w:lang w:val="en-US" w:eastAsia="zh-CN"/>
        </w:rPr>
        <w:t>7 结论</w:t>
      </w:r>
    </w:p>
    <w:p w14:paraId="20287D28">
      <w:pPr>
        <w:spacing w:line="360" w:lineRule="auto"/>
        <w:ind w:firstLine="640" w:firstLineChars="200"/>
        <w:rPr>
          <w:rFonts w:hint="eastAsia" w:eastAsiaTheme="minorEastAsia"/>
          <w:color w:val="auto"/>
          <w:sz w:val="36"/>
          <w:szCs w:val="36"/>
          <w:shd w:val="clear" w:color="auto" w:fill="auto"/>
          <w:lang w:val="en-US" w:eastAsia="zh-CN"/>
        </w:rPr>
      </w:pPr>
      <w:r>
        <w:rPr>
          <w:rFonts w:hint="eastAsia" w:ascii="仿宋_GB2312" w:hAnsi="宋体" w:eastAsia="仿宋_GB2312" w:cs="Times New Roman"/>
          <w:color w:val="auto"/>
          <w:kern w:val="0"/>
          <w:sz w:val="32"/>
          <w:szCs w:val="32"/>
          <w:shd w:val="clear" w:color="auto" w:fill="auto"/>
          <w:lang w:eastAsia="zh-CN"/>
        </w:rPr>
        <w:t>本次试验对15个参试结球白菜品种进行黄萎病抗性鉴定，结果显示各品种抗性差异显著。华耐B1102和金美黄的黄萎病抗性最强，可作为抗黄萎病结球白菜品种在生产中优先推广应用；大阪黄芯、顺金5号、皇太极等</w:t>
      </w:r>
      <w:r>
        <w:rPr>
          <w:rFonts w:hint="eastAsia" w:ascii="仿宋_GB2312" w:hAnsi="宋体" w:eastAsia="仿宋_GB2312" w:cs="Times New Roman"/>
          <w:color w:val="auto"/>
          <w:kern w:val="0"/>
          <w:sz w:val="32"/>
          <w:szCs w:val="32"/>
          <w:shd w:val="clear" w:color="auto" w:fill="auto"/>
          <w:lang w:val="en-US" w:eastAsia="zh-CN"/>
        </w:rPr>
        <w:t>5个品种</w:t>
      </w:r>
      <w:r>
        <w:rPr>
          <w:rFonts w:hint="eastAsia" w:ascii="仿宋_GB2312" w:hAnsi="宋体" w:eastAsia="仿宋_GB2312" w:cs="Times New Roman"/>
          <w:color w:val="auto"/>
          <w:kern w:val="0"/>
          <w:sz w:val="32"/>
          <w:szCs w:val="32"/>
          <w:shd w:val="clear" w:color="auto" w:fill="auto"/>
          <w:lang w:eastAsia="zh-CN"/>
        </w:rPr>
        <w:t>抗性较好，也可根据种植需求选用；而高原寒、四季王等中感及高感品种，在黄萎病高发区域应避免种植，以降低病害造成的产量和品质损失。</w:t>
      </w:r>
    </w:p>
    <w:p w14:paraId="62EAA11B">
      <w:pPr>
        <w:spacing w:line="360" w:lineRule="auto"/>
        <w:rPr>
          <w:rFonts w:ascii="Times New Roman" w:hAnsi="Times New Roman" w:eastAsia="黑体" w:cs="Times New Roman"/>
          <w:sz w:val="32"/>
          <w:szCs w:val="32"/>
        </w:rPr>
      </w:pPr>
      <w:r>
        <w:rPr>
          <w:rFonts w:hint="eastAsia" w:ascii="Times New Roman" w:hAnsi="Times New Roman" w:eastAsia="黑体" w:cs="Times New Roman"/>
          <w:sz w:val="32"/>
          <w:szCs w:val="32"/>
        </w:rPr>
        <w:t>六、重大意见分歧和处理依据和结果</w:t>
      </w:r>
    </w:p>
    <w:p w14:paraId="32023670">
      <w:pPr>
        <w:spacing w:line="360" w:lineRule="auto"/>
        <w:ind w:firstLine="640" w:firstLineChars="200"/>
        <w:rPr>
          <w:rFonts w:ascii="仿宋_GB2312" w:eastAsia="仿宋_GB2312"/>
          <w:bCs/>
          <w:sz w:val="32"/>
          <w:szCs w:val="32"/>
        </w:rPr>
      </w:pPr>
      <w:r>
        <w:rPr>
          <w:rFonts w:hint="eastAsia" w:ascii="仿宋_GB2312" w:eastAsia="仿宋_GB2312"/>
          <w:bCs/>
          <w:sz w:val="32"/>
          <w:szCs w:val="32"/>
        </w:rPr>
        <w:t>无重大意见分歧。</w:t>
      </w:r>
    </w:p>
    <w:p w14:paraId="29255046">
      <w:pPr>
        <w:ind w:firstLine="640" w:firstLineChars="200"/>
        <w:rPr>
          <w:rFonts w:hint="eastAsia" w:ascii="仿宋_GB2312" w:eastAsia="仿宋_GB2312"/>
          <w:bCs/>
          <w:sz w:val="32"/>
          <w:szCs w:val="32"/>
        </w:rPr>
      </w:pPr>
      <w:bookmarkStart w:id="7" w:name="OLE_LINK19"/>
      <w:bookmarkStart w:id="8" w:name="OLE_LINK18"/>
      <w:r>
        <w:rPr>
          <w:rFonts w:hint="eastAsia" w:ascii="仿宋_GB2312" w:eastAsia="仿宋_GB2312"/>
          <w:bCs/>
          <w:sz w:val="32"/>
          <w:szCs w:val="32"/>
        </w:rPr>
        <w:t>征求意见</w:t>
      </w:r>
      <w:r>
        <w:rPr>
          <w:rFonts w:hint="eastAsia" w:ascii="仿宋_GB2312" w:eastAsia="仿宋_GB2312"/>
          <w:bCs/>
          <w:sz w:val="32"/>
          <w:szCs w:val="32"/>
          <w:lang w:eastAsia="zh-CN"/>
        </w:rPr>
        <w:t>阶段</w:t>
      </w:r>
      <w:r>
        <w:rPr>
          <w:rFonts w:hint="eastAsia" w:ascii="仿宋_GB2312" w:eastAsia="仿宋_GB2312"/>
          <w:bCs/>
          <w:sz w:val="32"/>
          <w:szCs w:val="32"/>
        </w:rPr>
        <w:t>，</w:t>
      </w:r>
      <w:r>
        <w:rPr>
          <w:rFonts w:hint="eastAsia" w:ascii="仿宋_GB2312" w:eastAsia="仿宋_GB2312"/>
          <w:bCs/>
          <w:sz w:val="32"/>
          <w:szCs w:val="32"/>
          <w:lang w:val="en-US" w:eastAsia="zh-CN"/>
        </w:rPr>
        <w:t>5</w:t>
      </w:r>
      <w:r>
        <w:rPr>
          <w:rFonts w:hint="eastAsia" w:ascii="仿宋_GB2312" w:eastAsia="仿宋_GB2312"/>
          <w:bCs/>
          <w:sz w:val="32"/>
          <w:szCs w:val="32"/>
        </w:rPr>
        <w:t>位专家共提出意见、建议</w:t>
      </w:r>
      <w:r>
        <w:rPr>
          <w:rFonts w:hint="eastAsia" w:ascii="仿宋_GB2312" w:eastAsia="仿宋_GB2312"/>
          <w:bCs/>
          <w:sz w:val="32"/>
          <w:szCs w:val="32"/>
          <w:lang w:val="en-US" w:eastAsia="zh-CN"/>
        </w:rPr>
        <w:t>10</w:t>
      </w:r>
      <w:r>
        <w:rPr>
          <w:rFonts w:hint="eastAsia" w:ascii="仿宋_GB2312" w:eastAsia="仿宋_GB2312"/>
          <w:bCs/>
          <w:sz w:val="32"/>
          <w:szCs w:val="32"/>
        </w:rPr>
        <w:t>条，全部采纳，征求意见汇总处理表见附件1。</w:t>
      </w:r>
    </w:p>
    <w:p w14:paraId="75034278">
      <w:pPr>
        <w:ind w:firstLine="640" w:firstLineChars="200"/>
        <w:rPr>
          <w:rFonts w:ascii="仿宋_GB2312" w:eastAsia="仿宋_GB2312"/>
          <w:bCs/>
          <w:sz w:val="32"/>
          <w:szCs w:val="32"/>
        </w:rPr>
      </w:pPr>
      <w:r>
        <w:rPr>
          <w:rFonts w:hint="eastAsia" w:ascii="仿宋_GB2312" w:eastAsia="仿宋_GB2312"/>
          <w:bCs/>
          <w:sz w:val="32"/>
          <w:szCs w:val="32"/>
          <w:lang w:eastAsia="zh-CN"/>
        </w:rPr>
        <w:t>技术审查阶段，专家共提出意见建议</w:t>
      </w:r>
      <w:r>
        <w:rPr>
          <w:rFonts w:hint="eastAsia" w:ascii="仿宋_GB2312" w:eastAsia="仿宋_GB2312"/>
          <w:bCs/>
          <w:sz w:val="32"/>
          <w:szCs w:val="32"/>
          <w:lang w:val="en-US" w:eastAsia="zh-CN"/>
        </w:rPr>
        <w:t>8</w:t>
      </w:r>
      <w:r>
        <w:rPr>
          <w:rFonts w:hint="eastAsia" w:ascii="仿宋_GB2312" w:eastAsia="仿宋_GB2312"/>
          <w:bCs/>
          <w:sz w:val="32"/>
          <w:szCs w:val="32"/>
          <w:lang w:eastAsia="zh-CN"/>
        </w:rPr>
        <w:t>条，全部采纳，</w:t>
      </w:r>
      <w:r>
        <w:rPr>
          <w:rFonts w:hint="eastAsia" w:ascii="仿宋_GB2312" w:eastAsia="仿宋_GB2312"/>
          <w:bCs/>
          <w:sz w:val="32"/>
          <w:szCs w:val="32"/>
        </w:rPr>
        <w:t>征求意见汇总处理表见附件</w:t>
      </w:r>
      <w:r>
        <w:rPr>
          <w:rFonts w:hint="eastAsia" w:ascii="仿宋_GB2312" w:eastAsia="仿宋_GB2312"/>
          <w:bCs/>
          <w:sz w:val="32"/>
          <w:szCs w:val="32"/>
          <w:lang w:val="en-US" w:eastAsia="zh-CN"/>
        </w:rPr>
        <w:t>2</w:t>
      </w:r>
      <w:r>
        <w:rPr>
          <w:rFonts w:hint="eastAsia" w:ascii="仿宋_GB2312" w:eastAsia="仿宋_GB2312"/>
          <w:bCs/>
          <w:sz w:val="32"/>
          <w:szCs w:val="32"/>
        </w:rPr>
        <w:t>。</w:t>
      </w:r>
    </w:p>
    <w:bookmarkEnd w:id="7"/>
    <w:bookmarkEnd w:id="8"/>
    <w:p w14:paraId="24B9F278">
      <w:pPr>
        <w:spacing w:line="360" w:lineRule="auto"/>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七、贯彻实施标准的要求、措施等建议</w:t>
      </w:r>
    </w:p>
    <w:p w14:paraId="63AFF42C">
      <w:pPr>
        <w:spacing w:line="360" w:lineRule="auto"/>
        <w:ind w:firstLine="640"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（一）技术措施</w:t>
      </w:r>
    </w:p>
    <w:p w14:paraId="3F16B042">
      <w:pPr>
        <w:spacing w:line="360" w:lineRule="auto"/>
        <w:ind w:firstLine="640" w:firstLineChars="200"/>
        <w:rPr>
          <w:rFonts w:ascii="仿宋_GB2312" w:hAnsi="宋体" w:eastAsia="仿宋_GB2312" w:cs="Times New Roman"/>
          <w:kern w:val="0"/>
          <w:sz w:val="32"/>
          <w:szCs w:val="32"/>
        </w:rPr>
      </w:pPr>
      <w:r>
        <w:rPr>
          <w:rFonts w:hint="eastAsia" w:ascii="仿宋_GB2312" w:hAnsi="宋体" w:eastAsia="仿宋_GB2312" w:cs="Times New Roman"/>
          <w:kern w:val="0"/>
          <w:sz w:val="32"/>
          <w:szCs w:val="32"/>
        </w:rPr>
        <w:t>该标准发布后，标准制定、归口单位将组织我省</w:t>
      </w:r>
      <w:r>
        <w:rPr>
          <w:rFonts w:hint="eastAsia" w:ascii="仿宋_GB2312" w:hAnsi="宋体" w:eastAsia="仿宋_GB2312" w:cs="Times New Roman"/>
          <w:kern w:val="0"/>
          <w:sz w:val="32"/>
          <w:szCs w:val="32"/>
          <w:lang w:eastAsia="zh-CN"/>
        </w:rPr>
        <w:t>白菜白菜类蔬菜</w:t>
      </w:r>
      <w:r>
        <w:rPr>
          <w:rFonts w:hint="eastAsia" w:ascii="仿宋_GB2312" w:hAnsi="宋体" w:eastAsia="仿宋_GB2312" w:cs="Times New Roman"/>
          <w:kern w:val="0"/>
          <w:sz w:val="32"/>
          <w:szCs w:val="32"/>
        </w:rPr>
        <w:t>生产单位对该标准进行学习、实施及相应的培训工作。要求熟练撑握</w:t>
      </w:r>
      <w:r>
        <w:rPr>
          <w:rFonts w:hint="eastAsia" w:ascii="仿宋_GB2312" w:hAnsi="宋体" w:eastAsia="仿宋_GB2312" w:cs="Times New Roman"/>
          <w:kern w:val="0"/>
          <w:sz w:val="32"/>
          <w:szCs w:val="32"/>
          <w:lang w:eastAsia="zh-CN"/>
        </w:rPr>
        <w:t>白菜类蔬菜</w:t>
      </w:r>
      <w:r>
        <w:rPr>
          <w:rFonts w:hint="eastAsia" w:ascii="仿宋_GB2312" w:hAnsi="宋体" w:eastAsia="仿宋_GB2312" w:cs="Times New Roman"/>
          <w:kern w:val="0"/>
          <w:sz w:val="32"/>
          <w:szCs w:val="32"/>
        </w:rPr>
        <w:t>生产技术，在生产中能够合理运用相应的</w:t>
      </w:r>
      <w:r>
        <w:rPr>
          <w:rFonts w:hint="eastAsia" w:ascii="仿宋_GB2312" w:hAnsi="宋体" w:eastAsia="仿宋_GB2312" w:cs="Times New Roman"/>
          <w:kern w:val="0"/>
          <w:sz w:val="32"/>
          <w:szCs w:val="32"/>
          <w:lang w:val="en-US" w:eastAsia="zh-CN"/>
        </w:rPr>
        <w:t>白菜类蔬菜黄萎病室内抗性鉴定技术规程</w:t>
      </w:r>
      <w:r>
        <w:rPr>
          <w:rFonts w:hint="eastAsia" w:ascii="仿宋_GB2312" w:hAnsi="宋体" w:eastAsia="仿宋_GB2312" w:cs="Times New Roman"/>
          <w:kern w:val="0"/>
          <w:sz w:val="32"/>
          <w:szCs w:val="32"/>
        </w:rPr>
        <w:t>相关技术。</w:t>
      </w:r>
    </w:p>
    <w:p w14:paraId="6F243561">
      <w:pPr>
        <w:spacing w:line="360" w:lineRule="auto"/>
        <w:ind w:firstLine="640"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（二）管理措施</w:t>
      </w:r>
    </w:p>
    <w:p w14:paraId="23846CB9">
      <w:pPr>
        <w:spacing w:line="360" w:lineRule="auto"/>
        <w:ind w:firstLine="640" w:firstLineChars="200"/>
        <w:rPr>
          <w:rFonts w:hint="eastAsia" w:ascii="仿宋_GB2312" w:hAnsi="宋体" w:eastAsia="仿宋_GB2312" w:cs="Times New Roman"/>
          <w:kern w:val="0"/>
          <w:sz w:val="32"/>
          <w:szCs w:val="32"/>
        </w:rPr>
      </w:pPr>
      <w:r>
        <w:rPr>
          <w:rFonts w:hint="eastAsia" w:ascii="仿宋_GB2312" w:hAnsi="宋体" w:eastAsia="仿宋_GB2312" w:cs="Times New Roman"/>
          <w:kern w:val="0"/>
          <w:sz w:val="32"/>
          <w:szCs w:val="32"/>
        </w:rPr>
        <w:t>依据《市场监管总局等部门关于加强标准制定与实施监督工作的指导意见》，加强对标准实施的监督检查。相关部门可定期或不定期对白菜类蔬菜黄萎病抗性鉴定工作进行监督抽查，检查鉴定机构是否按照标准要求开展工作，鉴定结果是否准确可靠等。</w:t>
      </w:r>
      <w:r>
        <w:rPr>
          <w:rFonts w:hint="eastAsia" w:ascii="仿宋_GB2312" w:hAnsi="宋体" w:eastAsia="仿宋_GB2312" w:cs="Times New Roman"/>
          <w:kern w:val="0"/>
          <w:sz w:val="32"/>
          <w:szCs w:val="32"/>
          <w:lang w:eastAsia="zh-CN"/>
        </w:rPr>
        <w:t>此外，</w:t>
      </w:r>
      <w:r>
        <w:rPr>
          <w:rFonts w:hint="eastAsia" w:ascii="仿宋_GB2312" w:hAnsi="宋体" w:eastAsia="仿宋_GB2312" w:cs="Times New Roman"/>
          <w:kern w:val="0"/>
          <w:sz w:val="32"/>
          <w:szCs w:val="32"/>
        </w:rPr>
        <w:t>根据标准实施过程中发现的问题和实际需求，及时对</w:t>
      </w:r>
      <w:r>
        <w:rPr>
          <w:rFonts w:hint="eastAsia" w:ascii="仿宋_GB2312" w:hAnsi="宋体" w:eastAsia="仿宋_GB2312" w:cs="Times New Roman"/>
          <w:kern w:val="0"/>
          <w:sz w:val="32"/>
          <w:szCs w:val="32"/>
          <w:lang w:eastAsia="zh-CN"/>
        </w:rPr>
        <w:t>白菜类蔬菜黄萎病室内抗性鉴定</w:t>
      </w:r>
      <w:r>
        <w:rPr>
          <w:rFonts w:hint="eastAsia" w:ascii="仿宋_GB2312" w:hAnsi="宋体" w:eastAsia="仿宋_GB2312" w:cs="Times New Roman"/>
          <w:kern w:val="0"/>
          <w:sz w:val="32"/>
          <w:szCs w:val="32"/>
        </w:rPr>
        <w:t>技术规程进行修订和完善。同时，加强与其他相关标准的衔接和协调，构建完整的白菜类蔬菜</w:t>
      </w:r>
      <w:r>
        <w:rPr>
          <w:rFonts w:hint="eastAsia" w:ascii="仿宋_GB2312" w:hAnsi="宋体" w:eastAsia="仿宋_GB2312" w:cs="Times New Roman"/>
          <w:kern w:val="0"/>
          <w:sz w:val="32"/>
          <w:szCs w:val="32"/>
          <w:lang w:eastAsia="zh-CN"/>
        </w:rPr>
        <w:t>黄萎病</w:t>
      </w:r>
      <w:r>
        <w:rPr>
          <w:rFonts w:hint="eastAsia" w:ascii="仿宋_GB2312" w:hAnsi="宋体" w:eastAsia="仿宋_GB2312" w:cs="Times New Roman"/>
          <w:kern w:val="0"/>
          <w:sz w:val="32"/>
          <w:szCs w:val="32"/>
        </w:rPr>
        <w:t>防控标准体系。</w:t>
      </w:r>
    </w:p>
    <w:p w14:paraId="2E189FF2">
      <w:pPr>
        <w:spacing w:line="360" w:lineRule="auto"/>
        <w:ind w:firstLine="640" w:firstLineChars="200"/>
        <w:rPr>
          <w:rFonts w:ascii="楷体_GB2312" w:hAnsi="Times New Roman" w:eastAsia="楷体_GB2312" w:cs="Times New Roman"/>
          <w:sz w:val="32"/>
          <w:szCs w:val="32"/>
        </w:rPr>
      </w:pPr>
      <w:r>
        <w:rPr>
          <w:rFonts w:hint="eastAsia" w:ascii="楷体_GB2312" w:hAnsi="Times New Roman" w:eastAsia="楷体_GB2312" w:cs="Times New Roman"/>
          <w:sz w:val="32"/>
          <w:szCs w:val="32"/>
        </w:rPr>
        <w:t>（三）建议</w:t>
      </w:r>
    </w:p>
    <w:p w14:paraId="76F178E8">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宋体" w:eastAsia="仿宋_GB2312" w:cs="Times New Roman"/>
          <w:kern w:val="0"/>
          <w:sz w:val="32"/>
          <w:szCs w:val="32"/>
        </w:rPr>
      </w:pPr>
      <w:r>
        <w:rPr>
          <w:rFonts w:hint="eastAsia" w:ascii="仿宋_GB2312" w:hAnsi="宋体" w:eastAsia="仿宋_GB2312" w:cs="Times New Roman"/>
          <w:kern w:val="0"/>
          <w:sz w:val="32"/>
          <w:szCs w:val="32"/>
        </w:rPr>
        <w:t>强化“产学研用”协同机制，推动农业科研院所、种子企业、种植基地深度合作，将规程中的鉴定技术与品种选育、田间防控实践紧密结合。定期收集规程实施中的问题，联合行业专家开展技术研讨与规程修订工作。</w:t>
      </w:r>
    </w:p>
    <w:p w14:paraId="747C0ABD">
      <w:pPr>
        <w:spacing w:line="360" w:lineRule="auto"/>
        <w:ind w:firstLine="640" w:firstLineChars="200"/>
        <w:rPr>
          <w:rFonts w:ascii="Times New Roman" w:hAnsi="Times New Roman" w:eastAsia="黑体" w:cs="Times New Roman"/>
          <w:sz w:val="32"/>
          <w:szCs w:val="32"/>
        </w:rPr>
      </w:pPr>
      <w:r>
        <w:rPr>
          <w:rFonts w:hint="eastAsia" w:ascii="Times New Roman" w:hAnsi="Times New Roman" w:eastAsia="黑体" w:cs="Times New Roman"/>
          <w:sz w:val="32"/>
          <w:szCs w:val="32"/>
        </w:rPr>
        <w:t>八、预期的经济、社会效益及其他应说明的事项</w:t>
      </w:r>
    </w:p>
    <w:p w14:paraId="23D5F46A">
      <w:pPr>
        <w:ind w:firstLine="640" w:firstLineChars="200"/>
        <w:jc w:val="both"/>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一</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预期经济效益</w:t>
      </w:r>
    </w:p>
    <w:p w14:paraId="2F9FB6F4">
      <w:pPr>
        <w:spacing w:line="360" w:lineRule="auto"/>
        <w:ind w:firstLine="640" w:firstLineChars="200"/>
        <w:rPr>
          <w:rFonts w:hint="eastAsia" w:ascii="仿宋_GB2312" w:hAnsi="宋体" w:eastAsia="仿宋_GB2312" w:cs="Times New Roman"/>
          <w:kern w:val="0"/>
          <w:sz w:val="32"/>
          <w:szCs w:val="32"/>
        </w:rPr>
      </w:pPr>
      <w:r>
        <w:rPr>
          <w:rFonts w:hint="eastAsia" w:ascii="仿宋_GB2312" w:hAnsi="宋体" w:eastAsia="仿宋_GB2312" w:cs="Times New Roman"/>
          <w:kern w:val="0"/>
          <w:sz w:val="32"/>
          <w:szCs w:val="32"/>
        </w:rPr>
        <w:t>1.降低种植损失</w:t>
      </w:r>
      <w:r>
        <w:rPr>
          <w:rFonts w:hint="eastAsia" w:ascii="仿宋_GB2312" w:hAnsi="宋体" w:eastAsia="仿宋_GB2312" w:cs="Times New Roman"/>
          <w:kern w:val="0"/>
          <w:sz w:val="32"/>
          <w:szCs w:val="32"/>
          <w:lang w:eastAsia="zh-CN"/>
        </w:rPr>
        <w:t>。</w:t>
      </w:r>
      <w:r>
        <w:rPr>
          <w:rFonts w:hint="eastAsia" w:ascii="仿宋_GB2312" w:hAnsi="宋体" w:eastAsia="仿宋_GB2312" w:cs="Times New Roman"/>
          <w:kern w:val="0"/>
          <w:sz w:val="32"/>
          <w:szCs w:val="32"/>
        </w:rPr>
        <w:t>黄萎病严重影响白菜产量与品质，通过该规程准确鉴定抗性品种，</w:t>
      </w:r>
      <w:r>
        <w:rPr>
          <w:rFonts w:hint="eastAsia" w:ascii="仿宋_GB2312" w:hAnsi="宋体" w:eastAsia="仿宋_GB2312" w:cs="Times New Roman"/>
          <w:kern w:val="0"/>
          <w:sz w:val="32"/>
          <w:szCs w:val="32"/>
          <w:lang w:eastAsia="zh-CN"/>
        </w:rPr>
        <w:t>种植户</w:t>
      </w:r>
      <w:r>
        <w:rPr>
          <w:rFonts w:hint="eastAsia" w:ascii="仿宋_GB2312" w:hAnsi="宋体" w:eastAsia="仿宋_GB2312" w:cs="Times New Roman"/>
          <w:kern w:val="0"/>
          <w:sz w:val="32"/>
          <w:szCs w:val="32"/>
        </w:rPr>
        <w:t>能选种抗病性强的白菜品种，有效减少发病率。</w:t>
      </w:r>
    </w:p>
    <w:p w14:paraId="6C617C1C">
      <w:pPr>
        <w:spacing w:line="360" w:lineRule="auto"/>
        <w:ind w:firstLine="640" w:firstLineChars="200"/>
        <w:rPr>
          <w:rFonts w:hint="eastAsia" w:ascii="仿宋_GB2312" w:hAnsi="宋体" w:eastAsia="仿宋_GB2312" w:cs="Times New Roman"/>
          <w:kern w:val="0"/>
          <w:sz w:val="32"/>
          <w:szCs w:val="32"/>
        </w:rPr>
      </w:pPr>
      <w:r>
        <w:rPr>
          <w:rFonts w:hint="eastAsia" w:ascii="仿宋_GB2312" w:hAnsi="宋体" w:eastAsia="仿宋_GB2312" w:cs="Times New Roman"/>
          <w:kern w:val="0"/>
          <w:sz w:val="32"/>
          <w:szCs w:val="32"/>
        </w:rPr>
        <w:t>2.节约防治成本</w:t>
      </w:r>
      <w:r>
        <w:rPr>
          <w:rFonts w:hint="eastAsia" w:ascii="仿宋_GB2312" w:hAnsi="宋体" w:eastAsia="仿宋_GB2312" w:cs="Times New Roman"/>
          <w:kern w:val="0"/>
          <w:sz w:val="32"/>
          <w:szCs w:val="32"/>
          <w:lang w:eastAsia="zh-CN"/>
        </w:rPr>
        <w:t>。</w:t>
      </w:r>
      <w:r>
        <w:rPr>
          <w:rFonts w:hint="eastAsia" w:ascii="仿宋_GB2312" w:hAnsi="宋体" w:eastAsia="仿宋_GB2312" w:cs="Times New Roman"/>
          <w:kern w:val="0"/>
          <w:sz w:val="32"/>
          <w:szCs w:val="32"/>
        </w:rPr>
        <w:t>抗性强的白菜品种发病少，减少化学药剂使用，降低农药成本及人工施药成本。同时，减少农药使用，降低环境污染治理成本，间接产生经济效益。</w:t>
      </w:r>
    </w:p>
    <w:p w14:paraId="037780B4">
      <w:pPr>
        <w:spacing w:line="360" w:lineRule="auto"/>
        <w:ind w:firstLine="640" w:firstLineChars="200"/>
        <w:rPr>
          <w:rFonts w:hint="eastAsia" w:ascii="仿宋_GB2312" w:hAnsi="宋体" w:eastAsia="仿宋_GB2312" w:cs="Times New Roman"/>
          <w:kern w:val="0"/>
          <w:sz w:val="32"/>
          <w:szCs w:val="32"/>
        </w:rPr>
      </w:pPr>
      <w:r>
        <w:rPr>
          <w:rFonts w:hint="eastAsia" w:ascii="仿宋_GB2312" w:hAnsi="宋体" w:eastAsia="仿宋_GB2312" w:cs="Times New Roman"/>
          <w:kern w:val="0"/>
          <w:sz w:val="32"/>
          <w:szCs w:val="32"/>
        </w:rPr>
        <w:t>3.提升产业竞争力</w:t>
      </w:r>
      <w:r>
        <w:rPr>
          <w:rFonts w:hint="eastAsia" w:ascii="仿宋_GB2312" w:hAnsi="宋体" w:eastAsia="仿宋_GB2312" w:cs="Times New Roman"/>
          <w:kern w:val="0"/>
          <w:sz w:val="32"/>
          <w:szCs w:val="32"/>
          <w:lang w:eastAsia="zh-CN"/>
        </w:rPr>
        <w:t>。</w:t>
      </w:r>
      <w:r>
        <w:rPr>
          <w:rFonts w:hint="eastAsia" w:ascii="仿宋_GB2312" w:hAnsi="宋体" w:eastAsia="仿宋_GB2312" w:cs="Times New Roman"/>
          <w:kern w:val="0"/>
          <w:sz w:val="32"/>
          <w:szCs w:val="32"/>
        </w:rPr>
        <w:t>青海白菜</w:t>
      </w:r>
      <w:r>
        <w:rPr>
          <w:rFonts w:hint="eastAsia" w:ascii="仿宋_GB2312" w:hAnsi="宋体" w:eastAsia="仿宋_GB2312" w:cs="Times New Roman"/>
          <w:kern w:val="0"/>
          <w:sz w:val="32"/>
          <w:szCs w:val="32"/>
          <w:lang w:eastAsia="zh-CN"/>
        </w:rPr>
        <w:t>类蔬菜依托</w:t>
      </w:r>
      <w:r>
        <w:rPr>
          <w:rFonts w:hint="eastAsia" w:ascii="仿宋_GB2312" w:hAnsi="宋体" w:eastAsia="仿宋_GB2312" w:cs="Times New Roman"/>
          <w:kern w:val="0"/>
          <w:sz w:val="32"/>
          <w:szCs w:val="32"/>
        </w:rPr>
        <w:t>抗病优势，品质和产量更稳定，在国内外市场更具竞争力，拓展销售市场，提高销售价格，增加菜农和相关企业收入，推动青海白菜产业发展。</w:t>
      </w:r>
    </w:p>
    <w:p w14:paraId="0BAAE51F">
      <w:pPr>
        <w:ind w:firstLine="640" w:firstLineChars="200"/>
        <w:jc w:val="both"/>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二</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预期社会效益</w:t>
      </w:r>
    </w:p>
    <w:p w14:paraId="12884B8D">
      <w:pPr>
        <w:spacing w:line="360" w:lineRule="auto"/>
        <w:ind w:firstLine="640" w:firstLineChars="200"/>
        <w:rPr>
          <w:rFonts w:hint="eastAsia" w:ascii="仿宋_GB2312" w:hAnsi="宋体" w:eastAsia="仿宋_GB2312" w:cs="Times New Roman"/>
          <w:kern w:val="0"/>
          <w:sz w:val="32"/>
          <w:szCs w:val="32"/>
        </w:rPr>
      </w:pPr>
      <w:r>
        <w:rPr>
          <w:rFonts w:hint="eastAsia" w:ascii="仿宋_GB2312" w:hAnsi="宋体" w:eastAsia="仿宋_GB2312" w:cs="Times New Roman"/>
          <w:kern w:val="0"/>
          <w:sz w:val="32"/>
          <w:szCs w:val="32"/>
        </w:rPr>
        <w:t>1.保障蔬菜供应稳定</w:t>
      </w:r>
      <w:r>
        <w:rPr>
          <w:rFonts w:hint="eastAsia" w:ascii="仿宋_GB2312" w:hAnsi="宋体" w:eastAsia="仿宋_GB2312" w:cs="Times New Roman"/>
          <w:kern w:val="0"/>
          <w:sz w:val="32"/>
          <w:szCs w:val="32"/>
          <w:lang w:eastAsia="zh-CN"/>
        </w:rPr>
        <w:t>。</w:t>
      </w:r>
      <w:r>
        <w:rPr>
          <w:rFonts w:hint="eastAsia" w:ascii="仿宋_GB2312" w:hAnsi="宋体" w:eastAsia="仿宋_GB2312" w:cs="Times New Roman"/>
          <w:kern w:val="0"/>
          <w:sz w:val="32"/>
          <w:szCs w:val="32"/>
        </w:rPr>
        <w:t>通过规范抗性鉴定、推广抗病品种，有效防控黄萎病，确保白菜产量稳定，保障青海省及周边地区白菜类蔬菜市场供应，稳定市场价格，满足消费者需求，维护社会民生稳定。</w:t>
      </w:r>
    </w:p>
    <w:p w14:paraId="3661C899">
      <w:pPr>
        <w:spacing w:line="360" w:lineRule="auto"/>
        <w:ind w:firstLine="640" w:firstLineChars="200"/>
        <w:rPr>
          <w:rFonts w:hint="eastAsia" w:ascii="仿宋_GB2312" w:hAnsi="宋体" w:eastAsia="仿宋_GB2312" w:cs="Times New Roman"/>
          <w:kern w:val="0"/>
          <w:sz w:val="32"/>
          <w:szCs w:val="32"/>
        </w:rPr>
      </w:pPr>
      <w:r>
        <w:rPr>
          <w:rFonts w:hint="eastAsia" w:ascii="仿宋_GB2312" w:hAnsi="宋体" w:eastAsia="仿宋_GB2312" w:cs="Times New Roman"/>
          <w:kern w:val="0"/>
          <w:sz w:val="32"/>
          <w:szCs w:val="32"/>
        </w:rPr>
        <w:t>2.推动绿色农业发展</w:t>
      </w:r>
      <w:r>
        <w:rPr>
          <w:rFonts w:hint="eastAsia" w:ascii="仿宋_GB2312" w:hAnsi="宋体" w:eastAsia="仿宋_GB2312" w:cs="Times New Roman"/>
          <w:kern w:val="0"/>
          <w:sz w:val="32"/>
          <w:szCs w:val="32"/>
          <w:lang w:eastAsia="zh-CN"/>
        </w:rPr>
        <w:t>。</w:t>
      </w:r>
      <w:r>
        <w:rPr>
          <w:rFonts w:hint="eastAsia" w:ascii="仿宋_GB2312" w:hAnsi="宋体" w:eastAsia="仿宋_GB2312" w:cs="Times New Roman"/>
          <w:kern w:val="0"/>
          <w:sz w:val="32"/>
          <w:szCs w:val="32"/>
        </w:rPr>
        <w:t>规程推广可减少化学农药依赖，引导菜农采用绿色防控措施，提升农民环保意识，促进农业可持续发展，契合国家绿色发展理念，助力青海农业绿色转型</w:t>
      </w:r>
      <w:r>
        <w:rPr>
          <w:rFonts w:hint="eastAsia" w:ascii="仿宋_GB2312" w:hAnsi="宋体" w:eastAsia="仿宋_GB2312" w:cs="Times New Roman"/>
          <w:kern w:val="0"/>
          <w:sz w:val="32"/>
          <w:szCs w:val="32"/>
          <w:lang w:eastAsia="zh-CN"/>
        </w:rPr>
        <w:t>升级</w:t>
      </w:r>
      <w:r>
        <w:rPr>
          <w:rFonts w:hint="eastAsia" w:ascii="仿宋_GB2312" w:hAnsi="宋体" w:eastAsia="仿宋_GB2312" w:cs="Times New Roman"/>
          <w:kern w:val="0"/>
          <w:sz w:val="32"/>
          <w:szCs w:val="32"/>
        </w:rPr>
        <w:t>。</w:t>
      </w:r>
    </w:p>
    <w:p w14:paraId="118B0433">
      <w:pPr>
        <w:spacing w:line="360" w:lineRule="auto"/>
        <w:ind w:firstLine="640" w:firstLineChars="200"/>
        <w:rPr>
          <w:rFonts w:hint="eastAsia" w:ascii="Times New Roman" w:hAnsi="Times New Roman" w:eastAsia="仿宋_GB2312" w:cs="Times New Roman"/>
          <w:kern w:val="0"/>
          <w:sz w:val="32"/>
          <w:szCs w:val="32"/>
        </w:rPr>
      </w:pPr>
      <w:r>
        <w:rPr>
          <w:rFonts w:hint="eastAsia" w:ascii="仿宋_GB2312" w:hAnsi="宋体" w:eastAsia="仿宋_GB2312" w:cs="Times New Roman"/>
          <w:kern w:val="0"/>
          <w:sz w:val="32"/>
          <w:szCs w:val="32"/>
        </w:rPr>
        <w:t>3.提高农民科技水平</w:t>
      </w:r>
      <w:r>
        <w:rPr>
          <w:rFonts w:hint="eastAsia" w:ascii="仿宋_GB2312" w:hAnsi="宋体" w:eastAsia="仿宋_GB2312" w:cs="Times New Roman"/>
          <w:kern w:val="0"/>
          <w:sz w:val="32"/>
          <w:szCs w:val="32"/>
          <w:lang w:eastAsia="zh-CN"/>
        </w:rPr>
        <w:t>。</w:t>
      </w:r>
      <w:r>
        <w:rPr>
          <w:rFonts w:hint="eastAsia" w:ascii="仿宋_GB2312" w:hAnsi="宋体" w:eastAsia="仿宋_GB2312" w:cs="Times New Roman"/>
          <w:kern w:val="0"/>
          <w:sz w:val="32"/>
          <w:szCs w:val="32"/>
        </w:rPr>
        <w:t>技术规程推广过程中，通过</w:t>
      </w:r>
      <w:r>
        <w:rPr>
          <w:rFonts w:hint="eastAsia" w:ascii="仿宋_GB2312" w:hAnsi="宋体" w:eastAsia="仿宋_GB2312" w:cs="Times New Roman"/>
          <w:kern w:val="0"/>
          <w:sz w:val="32"/>
          <w:szCs w:val="32"/>
          <w:lang w:eastAsia="zh-CN"/>
        </w:rPr>
        <w:t>技术</w:t>
      </w:r>
      <w:r>
        <w:rPr>
          <w:rFonts w:hint="eastAsia" w:ascii="仿宋_GB2312" w:hAnsi="宋体" w:eastAsia="仿宋_GB2312" w:cs="Times New Roman"/>
          <w:kern w:val="0"/>
          <w:sz w:val="32"/>
          <w:szCs w:val="32"/>
        </w:rPr>
        <w:t>培训、</w:t>
      </w:r>
      <w:r>
        <w:rPr>
          <w:rFonts w:hint="eastAsia" w:ascii="仿宋_GB2312" w:hAnsi="宋体" w:eastAsia="仿宋_GB2312" w:cs="Times New Roman"/>
          <w:kern w:val="0"/>
          <w:sz w:val="32"/>
          <w:szCs w:val="32"/>
          <w:lang w:eastAsia="zh-CN"/>
        </w:rPr>
        <w:t>田间</w:t>
      </w:r>
      <w:r>
        <w:rPr>
          <w:rFonts w:hint="eastAsia" w:ascii="仿宋_GB2312" w:hAnsi="宋体" w:eastAsia="仿宋_GB2312" w:cs="Times New Roman"/>
          <w:kern w:val="0"/>
          <w:sz w:val="32"/>
          <w:szCs w:val="32"/>
        </w:rPr>
        <w:t>指导等方式，提高菜农对黄萎病认识和防控技术水平，增强农民科学种植能力，培养新型职业农民，促进农村人才振兴。</w:t>
      </w:r>
    </w:p>
    <w:p w14:paraId="5EC56BA1">
      <w:pPr>
        <w:spacing w:line="360" w:lineRule="auto"/>
        <w:ind w:firstLine="640" w:firstLineChars="200"/>
        <w:rPr>
          <w:rFonts w:hint="eastAsia" w:ascii="Times New Roman" w:hAnsi="Times New Roman" w:eastAsia="仿宋_GB2312" w:cs="Times New Roman"/>
          <w:kern w:val="0"/>
          <w:sz w:val="32"/>
          <w:szCs w:val="32"/>
        </w:rPr>
      </w:pPr>
      <w:r>
        <w:rPr>
          <w:rFonts w:hint="eastAsia" w:ascii="仿宋_GB2312" w:hAnsi="宋体" w:eastAsia="仿宋_GB2312" w:cs="Times New Roman"/>
          <w:kern w:val="0"/>
          <w:sz w:val="32"/>
          <w:szCs w:val="32"/>
          <w:lang w:val="en-US" w:eastAsia="zh-CN"/>
        </w:rPr>
        <w:t>(</w:t>
      </w:r>
      <w:r>
        <w:rPr>
          <w:rFonts w:hint="eastAsia" w:ascii="仿宋_GB2312" w:hAnsi="宋体" w:eastAsia="仿宋_GB2312" w:cs="Times New Roman"/>
          <w:kern w:val="0"/>
          <w:sz w:val="32"/>
          <w:szCs w:val="32"/>
          <w:lang w:eastAsia="zh-CN"/>
        </w:rPr>
        <w:t>三</w:t>
      </w:r>
      <w:r>
        <w:rPr>
          <w:rFonts w:hint="eastAsia" w:ascii="仿宋_GB2312" w:hAnsi="宋体" w:eastAsia="仿宋_GB2312" w:cs="Times New Roman"/>
          <w:kern w:val="0"/>
          <w:sz w:val="32"/>
          <w:szCs w:val="32"/>
          <w:lang w:val="en-US" w:eastAsia="zh-CN"/>
        </w:rPr>
        <w:t>)</w:t>
      </w:r>
      <w:r>
        <w:rPr>
          <w:rFonts w:hint="eastAsia" w:ascii="仿宋_GB2312" w:hAnsi="宋体" w:eastAsia="仿宋_GB2312" w:cs="Times New Roman"/>
          <w:kern w:val="0"/>
          <w:sz w:val="32"/>
          <w:szCs w:val="32"/>
        </w:rPr>
        <w:t>其他应说明事项</w:t>
      </w:r>
    </w:p>
    <w:p w14:paraId="3CC1FBFB">
      <w:pPr>
        <w:spacing w:line="360" w:lineRule="auto"/>
        <w:ind w:firstLine="640" w:firstLineChars="200"/>
        <w:rPr>
          <w:rFonts w:hint="eastAsia" w:ascii="仿宋_GB2312" w:hAnsi="宋体" w:eastAsia="仿宋_GB2312" w:cs="Times New Roman"/>
          <w:kern w:val="0"/>
          <w:sz w:val="32"/>
          <w:szCs w:val="32"/>
        </w:rPr>
      </w:pPr>
      <w:r>
        <w:rPr>
          <w:rFonts w:hint="eastAsia" w:ascii="仿宋_GB2312" w:hAnsi="宋体" w:eastAsia="仿宋_GB2312" w:cs="Times New Roman"/>
          <w:kern w:val="0"/>
          <w:sz w:val="32"/>
          <w:szCs w:val="32"/>
        </w:rPr>
        <w:t>1.加强监督与认证</w:t>
      </w:r>
      <w:r>
        <w:rPr>
          <w:rFonts w:hint="eastAsia" w:ascii="仿宋_GB2312" w:hAnsi="宋体" w:eastAsia="仿宋_GB2312" w:cs="Times New Roman"/>
          <w:kern w:val="0"/>
          <w:sz w:val="32"/>
          <w:szCs w:val="32"/>
          <w:lang w:eastAsia="zh-CN"/>
        </w:rPr>
        <w:t>。</w:t>
      </w:r>
      <w:r>
        <w:rPr>
          <w:rFonts w:hint="eastAsia" w:ascii="仿宋_GB2312" w:hAnsi="宋体" w:eastAsia="仿宋_GB2312" w:cs="Times New Roman"/>
          <w:kern w:val="0"/>
          <w:sz w:val="32"/>
          <w:szCs w:val="32"/>
        </w:rPr>
        <w:t>相关部门</w:t>
      </w:r>
      <w:r>
        <w:rPr>
          <w:rFonts w:hint="eastAsia" w:ascii="仿宋_GB2312" w:hAnsi="宋体" w:eastAsia="仿宋_GB2312" w:cs="Times New Roman"/>
          <w:kern w:val="0"/>
          <w:sz w:val="32"/>
          <w:szCs w:val="32"/>
          <w:lang w:eastAsia="zh-CN"/>
        </w:rPr>
        <w:t>需要</w:t>
      </w:r>
      <w:r>
        <w:rPr>
          <w:rFonts w:hint="eastAsia" w:ascii="仿宋_GB2312" w:hAnsi="宋体" w:eastAsia="仿宋_GB2312" w:cs="Times New Roman"/>
          <w:kern w:val="0"/>
          <w:sz w:val="32"/>
          <w:szCs w:val="32"/>
        </w:rPr>
        <w:t>加强对</w:t>
      </w:r>
      <w:r>
        <w:rPr>
          <w:rFonts w:hint="eastAsia" w:ascii="仿宋_GB2312" w:hAnsi="宋体" w:eastAsia="仿宋_GB2312" w:cs="Times New Roman"/>
          <w:kern w:val="0"/>
          <w:sz w:val="32"/>
          <w:szCs w:val="32"/>
          <w:lang w:eastAsia="zh-CN"/>
        </w:rPr>
        <w:t>蔬菜</w:t>
      </w:r>
      <w:r>
        <w:rPr>
          <w:rFonts w:hint="eastAsia" w:ascii="仿宋_GB2312" w:hAnsi="宋体" w:eastAsia="仿宋_GB2312" w:cs="Times New Roman"/>
          <w:kern w:val="0"/>
          <w:sz w:val="32"/>
          <w:szCs w:val="32"/>
        </w:rPr>
        <w:t>种子市场监管，确保进入市场的种子按规程进行抗性鉴定，标注抗性等级，防止虚假宣传，保障菜农权益。建立抗性品种认证体系，对通过鉴定的高抗品种颁发认证证书，提高市场认可度。</w:t>
      </w:r>
    </w:p>
    <w:p w14:paraId="5E3397AB">
      <w:pPr>
        <w:spacing w:line="360" w:lineRule="auto"/>
        <w:ind w:firstLine="640" w:firstLineChars="200"/>
        <w:rPr>
          <w:rFonts w:hint="eastAsia" w:ascii="仿宋_GB2312" w:hAnsi="宋体" w:eastAsia="仿宋_GB2312" w:cs="Times New Roman"/>
          <w:kern w:val="0"/>
          <w:sz w:val="32"/>
          <w:szCs w:val="32"/>
        </w:rPr>
      </w:pPr>
      <w:r>
        <w:rPr>
          <w:rFonts w:hint="eastAsia" w:ascii="仿宋_GB2312" w:hAnsi="宋体" w:eastAsia="仿宋_GB2312" w:cs="Times New Roman"/>
          <w:kern w:val="0"/>
          <w:sz w:val="32"/>
          <w:szCs w:val="32"/>
        </w:rPr>
        <w:t>2.持续技术研发与更新</w:t>
      </w:r>
      <w:r>
        <w:rPr>
          <w:rFonts w:hint="eastAsia" w:ascii="仿宋_GB2312" w:hAnsi="宋体" w:eastAsia="仿宋_GB2312" w:cs="Times New Roman"/>
          <w:kern w:val="0"/>
          <w:sz w:val="32"/>
          <w:szCs w:val="32"/>
          <w:lang w:eastAsia="zh-CN"/>
        </w:rPr>
        <w:t>。</w:t>
      </w:r>
      <w:r>
        <w:rPr>
          <w:rFonts w:hint="eastAsia" w:ascii="仿宋_GB2312" w:hAnsi="宋体" w:eastAsia="仿宋_GB2312" w:cs="Times New Roman"/>
          <w:kern w:val="0"/>
          <w:sz w:val="32"/>
          <w:szCs w:val="32"/>
        </w:rPr>
        <w:t>随着病原菌变异、气候环境变化，持续开展白菜黄萎病抗性鉴定技术研究，及时更新规程，如研究新鉴定指标、优化鉴定方法等，保持技术先进性和有效性。</w:t>
      </w:r>
    </w:p>
    <w:p w14:paraId="449F8EEE">
      <w:pPr>
        <w:spacing w:line="360" w:lineRule="auto"/>
        <w:ind w:firstLine="640" w:firstLineChars="200"/>
        <w:rPr>
          <w:rFonts w:hint="eastAsia" w:ascii="仿宋_GB2312" w:hAnsi="宋体" w:eastAsia="仿宋_GB2312" w:cs="Times New Roman"/>
          <w:kern w:val="0"/>
          <w:sz w:val="32"/>
          <w:szCs w:val="32"/>
          <w:lang w:eastAsia="zh-CN"/>
        </w:rPr>
      </w:pPr>
      <w:r>
        <w:rPr>
          <w:rFonts w:hint="eastAsia" w:ascii="仿宋_GB2312" w:hAnsi="宋体" w:eastAsia="仿宋_GB2312" w:cs="Times New Roman"/>
          <w:kern w:val="0"/>
          <w:sz w:val="32"/>
          <w:szCs w:val="32"/>
        </w:rPr>
        <w:t>3.加强区域合作与交流</w:t>
      </w:r>
      <w:r>
        <w:rPr>
          <w:rFonts w:hint="eastAsia" w:ascii="仿宋_GB2312" w:hAnsi="宋体" w:eastAsia="仿宋_GB2312" w:cs="Times New Roman"/>
          <w:kern w:val="0"/>
          <w:sz w:val="32"/>
          <w:szCs w:val="32"/>
          <w:lang w:eastAsia="zh-CN"/>
        </w:rPr>
        <w:t>。</w:t>
      </w:r>
      <w:r>
        <w:rPr>
          <w:rFonts w:hint="eastAsia" w:ascii="仿宋_GB2312" w:hAnsi="宋体" w:eastAsia="仿宋_GB2312" w:cs="Times New Roman"/>
          <w:kern w:val="0"/>
          <w:sz w:val="32"/>
          <w:szCs w:val="32"/>
        </w:rPr>
        <w:t>青海</w:t>
      </w:r>
      <w:r>
        <w:rPr>
          <w:rFonts w:hint="eastAsia" w:ascii="仿宋_GB2312" w:hAnsi="宋体" w:eastAsia="仿宋_GB2312" w:cs="Times New Roman"/>
          <w:kern w:val="0"/>
          <w:sz w:val="32"/>
          <w:szCs w:val="32"/>
          <w:lang w:eastAsia="zh-CN"/>
        </w:rPr>
        <w:t>省应</w:t>
      </w:r>
      <w:r>
        <w:rPr>
          <w:rFonts w:hint="eastAsia" w:ascii="仿宋_GB2312" w:hAnsi="宋体" w:eastAsia="仿宋_GB2312" w:cs="Times New Roman"/>
          <w:kern w:val="0"/>
          <w:sz w:val="32"/>
          <w:szCs w:val="32"/>
        </w:rPr>
        <w:t>与周边省份及农业科研机构加强合作，共享黄萎病抗性鉴定技术和防控经验，共同开展联合攻关，提高整个区域蔬菜</w:t>
      </w:r>
      <w:r>
        <w:rPr>
          <w:rFonts w:hint="eastAsia" w:ascii="仿宋_GB2312" w:hAnsi="宋体" w:eastAsia="仿宋_GB2312" w:cs="Times New Roman"/>
          <w:kern w:val="0"/>
          <w:sz w:val="32"/>
          <w:szCs w:val="32"/>
          <w:lang w:eastAsia="zh-CN"/>
        </w:rPr>
        <w:t>病害的</w:t>
      </w:r>
      <w:r>
        <w:rPr>
          <w:rFonts w:hint="eastAsia" w:ascii="仿宋_GB2312" w:hAnsi="宋体" w:eastAsia="仿宋_GB2312" w:cs="Times New Roman"/>
          <w:kern w:val="0"/>
          <w:sz w:val="32"/>
          <w:szCs w:val="32"/>
        </w:rPr>
        <w:t>防控水平，推动区域农业协同发展</w:t>
      </w:r>
      <w:r>
        <w:rPr>
          <w:rFonts w:hint="eastAsia" w:ascii="仿宋_GB2312" w:hAnsi="宋体" w:eastAsia="仿宋_GB2312" w:cs="Times New Roman"/>
          <w:kern w:val="0"/>
          <w:sz w:val="32"/>
          <w:szCs w:val="32"/>
          <w:lang w:eastAsia="zh-CN"/>
        </w:rPr>
        <w:t>。</w:t>
      </w:r>
    </w:p>
    <w:p w14:paraId="260BBFDB">
      <w:pPr>
        <w:jc w:val="right"/>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白菜类蔬菜  黄萎病室内抗性鉴定技术规程</w:t>
      </w:r>
      <w:r>
        <w:rPr>
          <w:rFonts w:hint="eastAsia" w:ascii="Times New Roman" w:hAnsi="Times New Roman" w:eastAsia="仿宋_GB2312" w:cs="Times New Roman"/>
          <w:kern w:val="0"/>
          <w:sz w:val="32"/>
          <w:szCs w:val="32"/>
        </w:rPr>
        <w:t>》</w:t>
      </w:r>
    </w:p>
    <w:p w14:paraId="0EFFEF7B">
      <w:pPr>
        <w:jc w:val="right"/>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标准起草小组</w:t>
      </w:r>
    </w:p>
    <w:p w14:paraId="2349AFF3">
      <w:pPr>
        <w:jc w:val="right"/>
        <w:rPr>
          <w:rFonts w:ascii="Times New Roman" w:hAnsi="Times New Roman" w:eastAsia="仿宋_GB2312" w:cs="Times New Roman"/>
          <w:kern w:val="0"/>
          <w:sz w:val="32"/>
          <w:szCs w:val="32"/>
        </w:rPr>
      </w:pPr>
      <w:bookmarkStart w:id="10" w:name="_GoBack"/>
      <w:bookmarkEnd w:id="10"/>
      <w:r>
        <w:rPr>
          <w:rFonts w:hint="eastAsia" w:ascii="Times New Roman" w:hAnsi="Times New Roman" w:eastAsia="仿宋_GB2312" w:cs="Times New Roman"/>
          <w:sz w:val="32"/>
          <w:szCs w:val="32"/>
        </w:rPr>
        <w:t>二〇二五年</w:t>
      </w:r>
      <w:r>
        <w:rPr>
          <w:rFonts w:hint="eastAsia" w:ascii="Times New Roman" w:hAnsi="Times New Roman" w:eastAsia="仿宋_GB2312" w:cs="Times New Roman"/>
          <w:sz w:val="32"/>
          <w:szCs w:val="32"/>
          <w:lang w:eastAsia="zh-CN"/>
        </w:rPr>
        <w:t>六</w:t>
      </w:r>
      <w:r>
        <w:rPr>
          <w:rFonts w:hint="eastAsia" w:ascii="Times New Roman" w:hAnsi="Times New Roman" w:eastAsia="仿宋_GB2312" w:cs="Times New Roman"/>
          <w:sz w:val="32"/>
          <w:szCs w:val="32"/>
        </w:rPr>
        <w:t>月</w:t>
      </w:r>
      <w:r>
        <w:rPr>
          <w:rFonts w:hint="eastAsia" w:ascii="Times New Roman" w:hAnsi="Times New Roman" w:eastAsia="仿宋_GB2312" w:cs="Times New Roman"/>
          <w:sz w:val="32"/>
          <w:szCs w:val="32"/>
          <w:lang w:eastAsia="zh-CN"/>
        </w:rPr>
        <w:t>六</w:t>
      </w:r>
      <w:r>
        <w:rPr>
          <w:rFonts w:hint="eastAsia" w:ascii="Times New Roman" w:hAnsi="Times New Roman" w:eastAsia="仿宋_GB2312" w:cs="Times New Roman"/>
          <w:sz w:val="32"/>
          <w:szCs w:val="32"/>
        </w:rPr>
        <w:t>日</w:t>
      </w:r>
    </w:p>
    <w:p w14:paraId="0B2A178A">
      <w:pPr>
        <w:spacing w:line="300" w:lineRule="auto"/>
        <w:ind w:firstLine="640" w:firstLineChars="200"/>
        <w:rPr>
          <w:rFonts w:ascii="Times New Roman" w:hAnsi="Times New Roman" w:eastAsia="仿宋_GB2312" w:cs="Times New Roman"/>
          <w:kern w:val="0"/>
          <w:sz w:val="32"/>
          <w:szCs w:val="32"/>
        </w:rPr>
        <w:sectPr>
          <w:footerReference r:id="rId3" w:type="default"/>
          <w:pgSz w:w="11906" w:h="16838"/>
          <w:pgMar w:top="1440" w:right="1797" w:bottom="1440" w:left="1797" w:header="851" w:footer="992" w:gutter="0"/>
          <w:pgBorders>
            <w:top w:val="none" w:sz="0" w:space="0"/>
            <w:left w:val="none" w:sz="0" w:space="0"/>
            <w:bottom w:val="none" w:sz="0" w:space="0"/>
            <w:right w:val="none" w:sz="0" w:space="0"/>
          </w:pgBorders>
          <w:pgNumType w:fmt="decimal" w:start="1"/>
          <w:cols w:space="425" w:num="1"/>
          <w:docGrid w:type="linesAndChars" w:linePitch="312" w:charSpace="0"/>
        </w:sectPr>
      </w:pPr>
    </w:p>
    <w:p w14:paraId="532EFB81">
      <w:pPr>
        <w:jc w:val="left"/>
        <w:rPr>
          <w:szCs w:val="22"/>
        </w:rPr>
      </w:pPr>
      <w:r>
        <w:rPr>
          <w:rFonts w:hint="eastAsia" w:ascii="仿宋" w:hAnsi="仿宋" w:eastAsia="仿宋" w:cs="仿宋"/>
          <w:sz w:val="32"/>
          <w:szCs w:val="32"/>
          <w:lang w:val="en-US" w:eastAsia="zh-CN"/>
        </w:rPr>
        <w:t>附件1</w:t>
      </w:r>
      <w:r>
        <w:rPr>
          <w:rFonts w:hint="eastAsia" w:ascii="仿宋" w:hAnsi="仿宋" w:eastAsia="仿宋" w:cs="仿宋"/>
          <w:sz w:val="32"/>
          <w:szCs w:val="32"/>
        </w:rPr>
        <w:t>：</w:t>
      </w:r>
    </w:p>
    <w:p w14:paraId="7531FC93">
      <w:pPr>
        <w:widowControl w:val="0"/>
        <w:numPr>
          <w:ilvl w:val="0"/>
          <w:numId w:val="0"/>
        </w:numPr>
        <w:spacing w:before="156" w:beforeLines="50" w:after="156" w:afterLines="50"/>
        <w:jc w:val="center"/>
        <w:rPr>
          <w:rFonts w:hint="eastAsia" w:ascii="方正小标宋简体" w:hAnsi="Times New Roman" w:eastAsia="方正小标宋简体" w:cs="Times New Roman"/>
          <w:kern w:val="2"/>
          <w:sz w:val="36"/>
          <w:szCs w:val="36"/>
          <w:lang w:val="en-US" w:eastAsia="zh-CN" w:bidi="ar-SA"/>
        </w:rPr>
      </w:pPr>
      <w:r>
        <w:rPr>
          <w:rFonts w:hint="eastAsia" w:ascii="方正小标宋简体" w:hAnsi="Times New Roman" w:eastAsia="方正小标宋简体" w:cs="Times New Roman"/>
          <w:kern w:val="2"/>
          <w:sz w:val="36"/>
          <w:szCs w:val="36"/>
          <w:lang w:val="en-US" w:eastAsia="zh-CN" w:bidi="ar-SA"/>
        </w:rPr>
        <w:t>团体标准征求意见汇总处理表</w:t>
      </w:r>
    </w:p>
    <w:tbl>
      <w:tblPr>
        <w:tblStyle w:val="8"/>
        <w:tblW w:w="9208" w:type="dxa"/>
        <w:tblInd w:w="-1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691"/>
        <w:gridCol w:w="3517"/>
      </w:tblGrid>
      <w:tr w14:paraId="600C0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exact"/>
        </w:trPr>
        <w:tc>
          <w:tcPr>
            <w:tcW w:w="5691" w:type="dxa"/>
            <w:tcBorders>
              <w:tl2br w:val="nil"/>
              <w:tr2bl w:val="nil"/>
            </w:tcBorders>
            <w:vAlign w:val="top"/>
          </w:tcPr>
          <w:p w14:paraId="3BD4CB4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left"/>
              <w:textAlignment w:val="auto"/>
              <w:rPr>
                <w:rFonts w:hint="eastAsia" w:ascii="仿宋" w:hAnsi="仿宋" w:eastAsia="仿宋" w:cs="仿宋"/>
                <w:kern w:val="2"/>
                <w:sz w:val="21"/>
                <w:szCs w:val="21"/>
                <w:vertAlign w:val="baseline"/>
                <w:lang w:val="en-US" w:eastAsia="zh-CN" w:bidi="ar-SA"/>
              </w:rPr>
            </w:pPr>
            <w:r>
              <w:rPr>
                <w:rFonts w:hint="eastAsia" w:ascii="仿宋" w:hAnsi="仿宋" w:eastAsia="仿宋" w:cs="仿宋"/>
                <w:kern w:val="2"/>
                <w:sz w:val="21"/>
                <w:szCs w:val="21"/>
                <w:lang w:val="en-US" w:eastAsia="zh-CN" w:bidi="ar-SA"/>
              </w:rPr>
              <w:t>项目名称:白菜类蔬菜  黄萎病室内抗性鉴定技术规程</w:t>
            </w:r>
          </w:p>
        </w:tc>
        <w:tc>
          <w:tcPr>
            <w:tcW w:w="3517" w:type="dxa"/>
            <w:tcBorders>
              <w:tl2br w:val="nil"/>
              <w:tr2bl w:val="nil"/>
            </w:tcBorders>
            <w:vAlign w:val="center"/>
          </w:tcPr>
          <w:p w14:paraId="070B831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0" w:afterAutospacing="0" w:line="200" w:lineRule="exact"/>
              <w:ind w:left="0" w:right="0" w:hanging="1050" w:hangingChars="500"/>
              <w:jc w:val="left"/>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项目编号：QHNX76-2025</w:t>
            </w:r>
          </w:p>
          <w:p w14:paraId="181EA8C3">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157" w:beforeLines="50" w:beforeAutospacing="0" w:after="156" w:afterLines="50" w:afterAutospacing="0" w:line="200" w:lineRule="exact"/>
              <w:ind w:left="0" w:right="0" w:firstLine="1050" w:firstLineChars="500"/>
              <w:jc w:val="left"/>
              <w:textAlignment w:val="auto"/>
              <w:rPr>
                <w:rFonts w:hint="eastAsia" w:ascii="仿宋" w:hAnsi="仿宋" w:eastAsia="仿宋" w:cs="仿宋"/>
                <w:kern w:val="2"/>
                <w:sz w:val="21"/>
                <w:szCs w:val="21"/>
                <w:vertAlign w:val="baseline"/>
                <w:lang w:val="en-US" w:eastAsia="zh-CN" w:bidi="ar-SA"/>
              </w:rPr>
            </w:pPr>
            <w:r>
              <w:rPr>
                <w:rFonts w:hint="eastAsia" w:ascii="仿宋" w:hAnsi="仿宋" w:eastAsia="仿宋" w:cs="仿宋"/>
                <w:kern w:val="2"/>
                <w:sz w:val="21"/>
                <w:szCs w:val="21"/>
                <w:lang w:val="en-US" w:eastAsia="zh-CN" w:bidi="ar-SA"/>
              </w:rPr>
              <w:t>QAS-JH35-2025</w:t>
            </w:r>
          </w:p>
        </w:tc>
      </w:tr>
      <w:tr w14:paraId="0D090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exact"/>
        </w:trPr>
        <w:tc>
          <w:tcPr>
            <w:tcW w:w="5691" w:type="dxa"/>
            <w:tcBorders>
              <w:tl2br w:val="nil"/>
              <w:tr2bl w:val="nil"/>
            </w:tcBorders>
            <w:vAlign w:val="center"/>
          </w:tcPr>
          <w:p w14:paraId="537EC84F">
            <w:pPr>
              <w:keepNext w:val="0"/>
              <w:keepLines w:val="0"/>
              <w:suppressLineNumbers w:val="0"/>
              <w:tabs>
                <w:tab w:val="left" w:pos="5295"/>
              </w:tabs>
              <w:spacing w:before="0" w:beforeAutospacing="0" w:after="0" w:afterAutospacing="0" w:line="360" w:lineRule="auto"/>
              <w:ind w:left="0" w:right="0"/>
              <w:jc w:val="left"/>
              <w:rPr>
                <w:rFonts w:hint="eastAsia" w:ascii="仿宋" w:hAnsi="仿宋" w:eastAsia="仿宋" w:cs="仿宋"/>
                <w:kern w:val="2"/>
                <w:sz w:val="21"/>
                <w:szCs w:val="21"/>
                <w:vertAlign w:val="baseline"/>
                <w:lang w:val="en-US" w:eastAsia="zh-CN" w:bidi="ar-SA"/>
              </w:rPr>
            </w:pPr>
            <w:r>
              <w:rPr>
                <w:rFonts w:hint="eastAsia" w:ascii="仿宋" w:hAnsi="仿宋" w:eastAsia="仿宋" w:cs="仿宋"/>
                <w:sz w:val="21"/>
                <w:szCs w:val="21"/>
                <w:lang w:val="en-US" w:eastAsia="zh-CN"/>
              </w:rPr>
              <w:t>主编单位：</w:t>
            </w:r>
            <w:r>
              <w:rPr>
                <w:rFonts w:hint="eastAsia" w:ascii="仿宋" w:hAnsi="仿宋" w:eastAsia="仿宋" w:cs="仿宋"/>
                <w:kern w:val="2"/>
                <w:sz w:val="21"/>
                <w:szCs w:val="21"/>
                <w:lang w:val="en-US" w:eastAsia="zh-CN" w:bidi="ar-SA"/>
              </w:rPr>
              <w:t>西宁市蔬菜技术服务中心</w:t>
            </w:r>
          </w:p>
        </w:tc>
        <w:tc>
          <w:tcPr>
            <w:tcW w:w="3517" w:type="dxa"/>
            <w:tcBorders>
              <w:tl2br w:val="nil"/>
              <w:tr2bl w:val="nil"/>
            </w:tcBorders>
            <w:vAlign w:val="center"/>
          </w:tcPr>
          <w:p w14:paraId="2AFF1306">
            <w:pPr>
              <w:keepNext w:val="0"/>
              <w:keepLines w:val="0"/>
              <w:suppressLineNumbers w:val="0"/>
              <w:autoSpaceDE w:val="0"/>
              <w:autoSpaceDN w:val="0"/>
              <w:spacing w:before="0" w:beforeAutospacing="0" w:after="0" w:afterAutospacing="0"/>
              <w:ind w:left="0" w:right="0"/>
              <w:jc w:val="both"/>
              <w:rPr>
                <w:rFonts w:hint="eastAsia" w:ascii="仿宋" w:hAnsi="仿宋" w:eastAsia="仿宋" w:cs="仿宋"/>
                <w:kern w:val="2"/>
                <w:sz w:val="21"/>
                <w:szCs w:val="21"/>
                <w:vertAlign w:val="baseline"/>
                <w:lang w:val="en-US" w:eastAsia="zh-CN" w:bidi="ar-SA"/>
              </w:rPr>
            </w:pPr>
            <w:r>
              <w:rPr>
                <w:rFonts w:hint="eastAsia" w:ascii="仿宋" w:hAnsi="仿宋" w:eastAsia="仿宋" w:cs="仿宋"/>
                <w:kern w:val="0"/>
                <w:sz w:val="21"/>
                <w:szCs w:val="21"/>
                <w:lang w:val="en-US" w:eastAsia="zh-CN" w:bidi="ar-SA"/>
              </w:rPr>
              <w:t>经办人：张晓梅</w:t>
            </w:r>
          </w:p>
        </w:tc>
      </w:tr>
    </w:tbl>
    <w:tbl>
      <w:tblPr>
        <w:tblStyle w:val="7"/>
        <w:tblW w:w="855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3"/>
        <w:gridCol w:w="848"/>
        <w:gridCol w:w="3753"/>
        <w:gridCol w:w="2300"/>
        <w:gridCol w:w="1164"/>
      </w:tblGrid>
      <w:tr w14:paraId="07290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8" w:hRule="atLeast"/>
        </w:trPr>
        <w:tc>
          <w:tcPr>
            <w:tcW w:w="493" w:type="dxa"/>
            <w:vAlign w:val="center"/>
          </w:tcPr>
          <w:p w14:paraId="062C617E">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序号</w:t>
            </w:r>
          </w:p>
        </w:tc>
        <w:tc>
          <w:tcPr>
            <w:tcW w:w="848" w:type="dxa"/>
            <w:vAlign w:val="center"/>
          </w:tcPr>
          <w:p w14:paraId="1067594E">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标准条款</w:t>
            </w:r>
          </w:p>
        </w:tc>
        <w:tc>
          <w:tcPr>
            <w:tcW w:w="3753" w:type="dxa"/>
            <w:vAlign w:val="center"/>
          </w:tcPr>
          <w:p w14:paraId="67EBD559">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意见内容</w:t>
            </w:r>
          </w:p>
        </w:tc>
        <w:tc>
          <w:tcPr>
            <w:tcW w:w="2300" w:type="dxa"/>
            <w:vAlign w:val="center"/>
          </w:tcPr>
          <w:p w14:paraId="6B8A22BF">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提出单位</w:t>
            </w:r>
          </w:p>
        </w:tc>
        <w:tc>
          <w:tcPr>
            <w:tcW w:w="1164" w:type="dxa"/>
            <w:vAlign w:val="center"/>
          </w:tcPr>
          <w:p w14:paraId="45CA7577">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处理结果和理由</w:t>
            </w:r>
          </w:p>
        </w:tc>
      </w:tr>
      <w:tr w14:paraId="108187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2" w:hRule="exact"/>
        </w:trPr>
        <w:tc>
          <w:tcPr>
            <w:tcW w:w="493" w:type="dxa"/>
            <w:vAlign w:val="center"/>
          </w:tcPr>
          <w:p w14:paraId="09BC1200">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bookmarkStart w:id="9" w:name="_Hlk195451061"/>
            <w:r>
              <w:rPr>
                <w:rFonts w:hint="eastAsia" w:ascii="仿宋" w:hAnsi="仿宋" w:eastAsia="仿宋" w:cs="仿宋"/>
                <w:sz w:val="21"/>
                <w:szCs w:val="21"/>
              </w:rPr>
              <w:t>1</w:t>
            </w:r>
          </w:p>
        </w:tc>
        <w:tc>
          <w:tcPr>
            <w:tcW w:w="848" w:type="dxa"/>
            <w:vAlign w:val="center"/>
          </w:tcPr>
          <w:p w14:paraId="72990D20">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lang w:val="en-US" w:eastAsia="zh-CN"/>
              </w:rPr>
              <w:t>标题</w:t>
            </w:r>
          </w:p>
        </w:tc>
        <w:tc>
          <w:tcPr>
            <w:tcW w:w="3753" w:type="dxa"/>
            <w:vAlign w:val="center"/>
          </w:tcPr>
          <w:p w14:paraId="756655F6">
            <w:pPr>
              <w:keepNext w:val="0"/>
              <w:keepLines w:val="0"/>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lang w:eastAsia="zh-CN"/>
              </w:rPr>
              <w:t>白菜类蔬菜后面空两格，并删除“土传病害”</w:t>
            </w:r>
          </w:p>
        </w:tc>
        <w:tc>
          <w:tcPr>
            <w:tcW w:w="2300" w:type="dxa"/>
            <w:vAlign w:val="center"/>
          </w:tcPr>
          <w:p w14:paraId="1031B1D4">
            <w:pPr>
              <w:keepNext w:val="0"/>
              <w:keepLines w:val="0"/>
              <w:suppressLineNumbers w:val="0"/>
              <w:spacing w:before="0" w:beforeAutospacing="0" w:after="0" w:afterAutospacing="0"/>
              <w:ind w:left="0" w:right="0"/>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青海大学</w:t>
            </w:r>
          </w:p>
        </w:tc>
        <w:tc>
          <w:tcPr>
            <w:tcW w:w="1164" w:type="dxa"/>
            <w:vAlign w:val="center"/>
          </w:tcPr>
          <w:p w14:paraId="46BC823B">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采纳</w:t>
            </w:r>
          </w:p>
        </w:tc>
      </w:tr>
      <w:tr w14:paraId="33991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2" w:hRule="exact"/>
        </w:trPr>
        <w:tc>
          <w:tcPr>
            <w:tcW w:w="493" w:type="dxa"/>
            <w:vAlign w:val="center"/>
          </w:tcPr>
          <w:p w14:paraId="73500C25">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2</w:t>
            </w:r>
          </w:p>
        </w:tc>
        <w:tc>
          <w:tcPr>
            <w:tcW w:w="848" w:type="dxa"/>
            <w:vAlign w:val="center"/>
          </w:tcPr>
          <w:p w14:paraId="6FE36383">
            <w:pPr>
              <w:keepNext w:val="0"/>
              <w:keepLines w:val="0"/>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w:t>
            </w:r>
          </w:p>
        </w:tc>
        <w:tc>
          <w:tcPr>
            <w:tcW w:w="3753" w:type="dxa"/>
            <w:vAlign w:val="center"/>
          </w:tcPr>
          <w:p w14:paraId="41733395">
            <w:pPr>
              <w:keepNext w:val="0"/>
              <w:keepLines w:val="0"/>
              <w:suppressLineNumbers w:val="0"/>
              <w:spacing w:before="0" w:beforeAutospacing="0" w:after="0" w:afterAutospacing="0"/>
              <w:ind w:left="0" w:right="0"/>
              <w:jc w:val="left"/>
              <w:rPr>
                <w:rFonts w:hint="eastAsia" w:ascii="仿宋" w:hAnsi="仿宋" w:eastAsia="仿宋" w:cs="仿宋"/>
                <w:sz w:val="21"/>
                <w:szCs w:val="21"/>
                <w:lang w:val="en-US" w:eastAsia="zh-CN"/>
              </w:rPr>
            </w:pPr>
            <w:r>
              <w:rPr>
                <w:rFonts w:hint="eastAsia" w:ascii="仿宋" w:hAnsi="仿宋" w:eastAsia="仿宋" w:cs="仿宋"/>
                <w:sz w:val="21"/>
                <w:szCs w:val="21"/>
                <w:lang w:eastAsia="zh-CN"/>
              </w:rPr>
              <w:t>删除</w:t>
            </w:r>
            <w:r>
              <w:rPr>
                <w:rFonts w:hint="eastAsia" w:ascii="仿宋" w:hAnsi="仿宋" w:eastAsia="仿宋" w:cs="仿宋"/>
                <w:sz w:val="21"/>
                <w:szCs w:val="21"/>
                <w:lang w:val="en-US" w:eastAsia="zh-CN"/>
              </w:rPr>
              <w:t>GB 52/T 1501.16</w:t>
            </w:r>
          </w:p>
        </w:tc>
        <w:tc>
          <w:tcPr>
            <w:tcW w:w="2300" w:type="dxa"/>
            <w:vAlign w:val="center"/>
          </w:tcPr>
          <w:p w14:paraId="7AF50AFF">
            <w:pPr>
              <w:keepNext w:val="0"/>
              <w:keepLines w:val="0"/>
              <w:suppressLineNumbers w:val="0"/>
              <w:spacing w:before="0" w:beforeAutospacing="0" w:after="0" w:afterAutospacing="0"/>
              <w:ind w:left="0" w:right="0"/>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西宁市技术推广服务中心</w:t>
            </w:r>
          </w:p>
        </w:tc>
        <w:tc>
          <w:tcPr>
            <w:tcW w:w="1164" w:type="dxa"/>
            <w:vAlign w:val="center"/>
          </w:tcPr>
          <w:p w14:paraId="3674F5D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采纳</w:t>
            </w:r>
          </w:p>
        </w:tc>
      </w:tr>
      <w:tr w14:paraId="5B99F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exact"/>
        </w:trPr>
        <w:tc>
          <w:tcPr>
            <w:tcW w:w="493" w:type="dxa"/>
            <w:vAlign w:val="center"/>
          </w:tcPr>
          <w:p w14:paraId="757FE28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3</w:t>
            </w:r>
          </w:p>
        </w:tc>
        <w:tc>
          <w:tcPr>
            <w:tcW w:w="848" w:type="dxa"/>
            <w:vAlign w:val="center"/>
          </w:tcPr>
          <w:p w14:paraId="2E2C30C4">
            <w:pPr>
              <w:keepNext w:val="0"/>
              <w:keepLines w:val="0"/>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3.1</w:t>
            </w:r>
          </w:p>
        </w:tc>
        <w:tc>
          <w:tcPr>
            <w:tcW w:w="3753" w:type="dxa"/>
            <w:vAlign w:val="center"/>
          </w:tcPr>
          <w:p w14:paraId="10ACD795">
            <w:pPr>
              <w:keepNext w:val="0"/>
              <w:keepLines w:val="0"/>
              <w:suppressLineNumbers w:val="0"/>
              <w:spacing w:before="0" w:beforeAutospacing="0" w:after="0" w:afterAutospacing="0"/>
              <w:ind w:left="0" w:right="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白菜类蔬菜以农艺性状上归类</w:t>
            </w:r>
          </w:p>
        </w:tc>
        <w:tc>
          <w:tcPr>
            <w:tcW w:w="2300" w:type="dxa"/>
            <w:vAlign w:val="center"/>
          </w:tcPr>
          <w:p w14:paraId="7DF93D17">
            <w:pPr>
              <w:keepNext w:val="0"/>
              <w:keepLines w:val="0"/>
              <w:suppressLineNumbers w:val="0"/>
              <w:spacing w:before="0" w:beforeAutospacing="0" w:after="0" w:afterAutospacing="0"/>
              <w:ind w:left="0" w:right="0"/>
              <w:jc w:val="center"/>
              <w:rPr>
                <w:rFonts w:hint="eastAsia" w:ascii="仿宋" w:hAnsi="仿宋" w:eastAsia="仿宋" w:cs="仿宋"/>
                <w:sz w:val="21"/>
                <w:szCs w:val="21"/>
                <w:lang w:eastAsia="zh-CN"/>
              </w:rPr>
            </w:pPr>
            <w:r>
              <w:rPr>
                <w:rFonts w:hint="eastAsia" w:ascii="仿宋" w:hAnsi="仿宋" w:eastAsia="仿宋" w:cs="仿宋"/>
                <w:sz w:val="21"/>
                <w:szCs w:val="21"/>
                <w:lang w:eastAsia="zh-CN"/>
              </w:rPr>
              <w:t>青海省农林科学院</w:t>
            </w:r>
          </w:p>
        </w:tc>
        <w:tc>
          <w:tcPr>
            <w:tcW w:w="1164" w:type="dxa"/>
            <w:vAlign w:val="center"/>
          </w:tcPr>
          <w:p w14:paraId="3960A3CB">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采纳</w:t>
            </w:r>
          </w:p>
        </w:tc>
      </w:tr>
      <w:tr w14:paraId="77DA5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exact"/>
        </w:trPr>
        <w:tc>
          <w:tcPr>
            <w:tcW w:w="493" w:type="dxa"/>
            <w:vAlign w:val="center"/>
          </w:tcPr>
          <w:p w14:paraId="73F0303C">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4</w:t>
            </w:r>
          </w:p>
        </w:tc>
        <w:tc>
          <w:tcPr>
            <w:tcW w:w="848" w:type="dxa"/>
            <w:vAlign w:val="center"/>
          </w:tcPr>
          <w:p w14:paraId="2A93DB52">
            <w:pPr>
              <w:keepNext w:val="0"/>
              <w:keepLines w:val="0"/>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3.2</w:t>
            </w:r>
          </w:p>
        </w:tc>
        <w:tc>
          <w:tcPr>
            <w:tcW w:w="3753" w:type="dxa"/>
            <w:vAlign w:val="center"/>
          </w:tcPr>
          <w:p w14:paraId="15538357">
            <w:pPr>
              <w:keepNext w:val="0"/>
              <w:keepLines w:val="0"/>
              <w:suppressLineNumbers w:val="0"/>
              <w:spacing w:before="0" w:beforeAutospacing="0" w:after="0" w:afterAutospacing="0"/>
              <w:ind w:left="0" w:right="0"/>
              <w:jc w:val="left"/>
              <w:rPr>
                <w:rFonts w:hint="eastAsia" w:ascii="仿宋" w:hAnsi="仿宋" w:eastAsia="仿宋" w:cs="仿宋"/>
                <w:sz w:val="21"/>
                <w:szCs w:val="21"/>
                <w:lang w:eastAsia="zh-CN"/>
              </w:rPr>
            </w:pPr>
            <w:r>
              <w:rPr>
                <w:rFonts w:hint="eastAsia" w:ascii="仿宋" w:hAnsi="仿宋" w:eastAsia="仿宋" w:cs="仿宋"/>
                <w:sz w:val="21"/>
                <w:szCs w:val="21"/>
                <w:lang w:eastAsia="zh-CN"/>
              </w:rPr>
              <w:t>黄萎病定义前面加“主要”</w:t>
            </w:r>
          </w:p>
        </w:tc>
        <w:tc>
          <w:tcPr>
            <w:tcW w:w="2300" w:type="dxa"/>
            <w:vAlign w:val="center"/>
          </w:tcPr>
          <w:p w14:paraId="2D9C377D">
            <w:pPr>
              <w:keepNext w:val="0"/>
              <w:keepLines w:val="0"/>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eastAsia="zh-CN"/>
              </w:rPr>
              <w:t>中国科学院西北高原生物研究所</w:t>
            </w:r>
          </w:p>
        </w:tc>
        <w:tc>
          <w:tcPr>
            <w:tcW w:w="1164" w:type="dxa"/>
            <w:vAlign w:val="center"/>
          </w:tcPr>
          <w:p w14:paraId="67E26B3D">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采纳</w:t>
            </w:r>
          </w:p>
        </w:tc>
      </w:tr>
      <w:tr w14:paraId="07D43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7" w:hRule="exact"/>
        </w:trPr>
        <w:tc>
          <w:tcPr>
            <w:tcW w:w="493" w:type="dxa"/>
            <w:vAlign w:val="center"/>
          </w:tcPr>
          <w:p w14:paraId="7502F0DE">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5</w:t>
            </w:r>
          </w:p>
        </w:tc>
        <w:tc>
          <w:tcPr>
            <w:tcW w:w="848" w:type="dxa"/>
            <w:vAlign w:val="center"/>
          </w:tcPr>
          <w:p w14:paraId="5E9E9123">
            <w:pPr>
              <w:keepNext w:val="0"/>
              <w:keepLines w:val="0"/>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4.1.1</w:t>
            </w:r>
          </w:p>
        </w:tc>
        <w:tc>
          <w:tcPr>
            <w:tcW w:w="3753" w:type="dxa"/>
            <w:vAlign w:val="center"/>
          </w:tcPr>
          <w:p w14:paraId="31555F04">
            <w:pPr>
              <w:keepNext w:val="0"/>
              <w:keepLines w:val="0"/>
              <w:suppressLineNumbers w:val="0"/>
              <w:spacing w:before="0" w:beforeAutospacing="0" w:after="0" w:afterAutospacing="0"/>
              <w:ind w:left="0" w:right="0"/>
              <w:jc w:val="left"/>
              <w:rPr>
                <w:rFonts w:hint="eastAsia" w:ascii="仿宋" w:hAnsi="仿宋" w:eastAsia="仿宋" w:cs="仿宋"/>
                <w:sz w:val="21"/>
                <w:szCs w:val="21"/>
                <w:lang w:eastAsia="zh-CN"/>
              </w:rPr>
            </w:pPr>
            <w:r>
              <w:rPr>
                <w:rFonts w:hint="eastAsia" w:ascii="仿宋" w:hAnsi="仿宋" w:eastAsia="仿宋" w:cs="仿宋"/>
                <w:sz w:val="21"/>
                <w:szCs w:val="21"/>
                <w:lang w:eastAsia="zh-CN"/>
              </w:rPr>
              <w:t>“琼脂培养基”改为“固体培养基”，删除缩写</w:t>
            </w:r>
          </w:p>
        </w:tc>
        <w:tc>
          <w:tcPr>
            <w:tcW w:w="2300" w:type="dxa"/>
            <w:vAlign w:val="center"/>
          </w:tcPr>
          <w:p w14:paraId="5A1BCA66">
            <w:pPr>
              <w:keepNext w:val="0"/>
              <w:keepLines w:val="0"/>
              <w:suppressLineNumbers w:val="0"/>
              <w:spacing w:before="0" w:beforeAutospacing="0" w:after="0" w:afterAutospacing="0"/>
              <w:ind w:left="0" w:right="0" w:firstLine="210" w:firstLineChars="100"/>
              <w:jc w:val="both"/>
              <w:rPr>
                <w:rFonts w:hint="eastAsia" w:ascii="仿宋" w:hAnsi="仿宋" w:eastAsia="仿宋" w:cs="仿宋"/>
                <w:sz w:val="21"/>
                <w:szCs w:val="21"/>
                <w:lang w:eastAsia="zh-CN"/>
              </w:rPr>
            </w:pPr>
            <w:r>
              <w:rPr>
                <w:rFonts w:hint="eastAsia" w:ascii="仿宋" w:hAnsi="仿宋" w:eastAsia="仿宋" w:cs="仿宋"/>
                <w:sz w:val="21"/>
                <w:szCs w:val="21"/>
                <w:lang w:eastAsia="zh-CN"/>
              </w:rPr>
              <w:t>青海大学农牧学院</w:t>
            </w:r>
          </w:p>
        </w:tc>
        <w:tc>
          <w:tcPr>
            <w:tcW w:w="1164" w:type="dxa"/>
            <w:vAlign w:val="center"/>
          </w:tcPr>
          <w:p w14:paraId="269C698B">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采纳</w:t>
            </w:r>
          </w:p>
        </w:tc>
      </w:tr>
      <w:tr w14:paraId="690BF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1" w:hRule="exact"/>
        </w:trPr>
        <w:tc>
          <w:tcPr>
            <w:tcW w:w="493" w:type="dxa"/>
            <w:vAlign w:val="center"/>
          </w:tcPr>
          <w:p w14:paraId="427CFF6C">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6</w:t>
            </w:r>
          </w:p>
        </w:tc>
        <w:tc>
          <w:tcPr>
            <w:tcW w:w="848" w:type="dxa"/>
            <w:vAlign w:val="center"/>
          </w:tcPr>
          <w:p w14:paraId="1A939458">
            <w:pPr>
              <w:keepNext w:val="0"/>
              <w:keepLines w:val="0"/>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4.1.2</w:t>
            </w:r>
          </w:p>
        </w:tc>
        <w:tc>
          <w:tcPr>
            <w:tcW w:w="3753" w:type="dxa"/>
            <w:vAlign w:val="center"/>
          </w:tcPr>
          <w:p w14:paraId="762E70AB">
            <w:pPr>
              <w:keepNext w:val="0"/>
              <w:keepLines w:val="0"/>
              <w:suppressLineNumbers w:val="0"/>
              <w:spacing w:before="0" w:beforeAutospacing="0" w:after="0" w:afterAutospacing="0"/>
              <w:ind w:left="0" w:right="0"/>
              <w:jc w:val="lef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“PDA液体培养基”改为“马铃薯葡萄糖液体培养基”</w:t>
            </w:r>
          </w:p>
        </w:tc>
        <w:tc>
          <w:tcPr>
            <w:tcW w:w="2300" w:type="dxa"/>
            <w:vAlign w:val="center"/>
          </w:tcPr>
          <w:p w14:paraId="439B6A0F">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lang w:eastAsia="zh-CN"/>
              </w:rPr>
              <w:t>青海大学农牧学院</w:t>
            </w:r>
          </w:p>
        </w:tc>
        <w:tc>
          <w:tcPr>
            <w:tcW w:w="1164" w:type="dxa"/>
            <w:vAlign w:val="center"/>
          </w:tcPr>
          <w:p w14:paraId="50103A27">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采纳</w:t>
            </w:r>
          </w:p>
        </w:tc>
      </w:tr>
      <w:tr w14:paraId="0D7BD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5" w:hRule="exact"/>
        </w:trPr>
        <w:tc>
          <w:tcPr>
            <w:tcW w:w="493" w:type="dxa"/>
            <w:vAlign w:val="center"/>
          </w:tcPr>
          <w:p w14:paraId="501FEBF9">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7</w:t>
            </w:r>
          </w:p>
        </w:tc>
        <w:tc>
          <w:tcPr>
            <w:tcW w:w="848" w:type="dxa"/>
            <w:vAlign w:val="center"/>
          </w:tcPr>
          <w:p w14:paraId="7C188054">
            <w:pPr>
              <w:keepNext w:val="0"/>
              <w:keepLines w:val="0"/>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5</w:t>
            </w:r>
          </w:p>
        </w:tc>
        <w:tc>
          <w:tcPr>
            <w:tcW w:w="3753" w:type="dxa"/>
            <w:vAlign w:val="center"/>
          </w:tcPr>
          <w:p w14:paraId="50B84804">
            <w:pPr>
              <w:keepNext w:val="0"/>
              <w:keepLines w:val="0"/>
              <w:suppressLineNumbers w:val="0"/>
              <w:spacing w:before="0" w:beforeAutospacing="0" w:after="0" w:afterAutospacing="0"/>
              <w:ind w:left="0" w:right="0"/>
              <w:jc w:val="left"/>
              <w:rPr>
                <w:rFonts w:hint="eastAsia" w:ascii="仿宋" w:hAnsi="仿宋" w:eastAsia="仿宋" w:cs="仿宋"/>
                <w:sz w:val="21"/>
                <w:szCs w:val="21"/>
                <w:lang w:eastAsia="zh-CN"/>
              </w:rPr>
            </w:pPr>
            <w:r>
              <w:rPr>
                <w:rFonts w:hint="eastAsia" w:ascii="仿宋" w:hAnsi="仿宋" w:eastAsia="仿宋" w:cs="仿宋"/>
                <w:sz w:val="21"/>
                <w:szCs w:val="21"/>
                <w:lang w:eastAsia="zh-CN"/>
              </w:rPr>
              <w:t>仪器设备以附录的形式呈现</w:t>
            </w:r>
          </w:p>
        </w:tc>
        <w:tc>
          <w:tcPr>
            <w:tcW w:w="2300" w:type="dxa"/>
            <w:vAlign w:val="center"/>
          </w:tcPr>
          <w:p w14:paraId="0ABC0990">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lang w:eastAsia="zh-CN"/>
              </w:rPr>
              <w:t>青海省农业技术推广总站</w:t>
            </w:r>
          </w:p>
        </w:tc>
        <w:tc>
          <w:tcPr>
            <w:tcW w:w="1164" w:type="dxa"/>
            <w:vAlign w:val="center"/>
          </w:tcPr>
          <w:p w14:paraId="55AE187C">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采纳</w:t>
            </w:r>
          </w:p>
        </w:tc>
      </w:tr>
      <w:tr w14:paraId="06E49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5" w:hRule="exact"/>
        </w:trPr>
        <w:tc>
          <w:tcPr>
            <w:tcW w:w="493" w:type="dxa"/>
            <w:vAlign w:val="center"/>
          </w:tcPr>
          <w:p w14:paraId="6E7FF282">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8</w:t>
            </w:r>
          </w:p>
        </w:tc>
        <w:tc>
          <w:tcPr>
            <w:tcW w:w="848" w:type="dxa"/>
            <w:vAlign w:val="center"/>
          </w:tcPr>
          <w:p w14:paraId="79853A96">
            <w:pPr>
              <w:keepNext w:val="0"/>
              <w:keepLines w:val="0"/>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7</w:t>
            </w:r>
          </w:p>
        </w:tc>
        <w:tc>
          <w:tcPr>
            <w:tcW w:w="3753" w:type="dxa"/>
            <w:vAlign w:val="center"/>
          </w:tcPr>
          <w:p w14:paraId="28E5522F">
            <w:pPr>
              <w:keepNext w:val="0"/>
              <w:keepLines w:val="0"/>
              <w:suppressLineNumbers w:val="0"/>
              <w:spacing w:before="0" w:beforeAutospacing="0" w:after="0" w:afterAutospacing="0"/>
              <w:ind w:left="0" w:right="0"/>
              <w:jc w:val="left"/>
              <w:rPr>
                <w:rFonts w:hint="eastAsia" w:ascii="仿宋" w:hAnsi="仿宋" w:eastAsia="仿宋" w:cs="仿宋"/>
                <w:sz w:val="21"/>
                <w:szCs w:val="21"/>
                <w:lang w:val="en-US" w:eastAsia="zh-CN"/>
              </w:rPr>
            </w:pPr>
            <w:r>
              <w:rPr>
                <w:rFonts w:hint="eastAsia" w:ascii="仿宋" w:hAnsi="仿宋" w:eastAsia="仿宋" w:cs="仿宋"/>
                <w:sz w:val="21"/>
                <w:szCs w:val="21"/>
                <w:lang w:eastAsia="zh-CN"/>
              </w:rPr>
              <w:t>条款</w:t>
            </w:r>
            <w:r>
              <w:rPr>
                <w:rFonts w:hint="eastAsia" w:ascii="仿宋" w:hAnsi="仿宋" w:eastAsia="仿宋" w:cs="仿宋"/>
                <w:sz w:val="21"/>
                <w:szCs w:val="21"/>
                <w:lang w:val="en-US" w:eastAsia="zh-CN"/>
              </w:rPr>
              <w:t>7、8合并</w:t>
            </w:r>
          </w:p>
        </w:tc>
        <w:tc>
          <w:tcPr>
            <w:tcW w:w="2300" w:type="dxa"/>
            <w:vAlign w:val="center"/>
          </w:tcPr>
          <w:p w14:paraId="7ECDBE4F">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lang w:eastAsia="zh-CN"/>
              </w:rPr>
              <w:t>青海省农林科学院</w:t>
            </w:r>
          </w:p>
        </w:tc>
        <w:tc>
          <w:tcPr>
            <w:tcW w:w="1164" w:type="dxa"/>
            <w:vAlign w:val="center"/>
          </w:tcPr>
          <w:p w14:paraId="745D5CC3">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采纳</w:t>
            </w:r>
          </w:p>
        </w:tc>
      </w:tr>
      <w:tr w14:paraId="6304B6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exact"/>
        </w:trPr>
        <w:tc>
          <w:tcPr>
            <w:tcW w:w="493" w:type="dxa"/>
            <w:vAlign w:val="center"/>
          </w:tcPr>
          <w:p w14:paraId="12D3B404">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9</w:t>
            </w:r>
          </w:p>
        </w:tc>
        <w:tc>
          <w:tcPr>
            <w:tcW w:w="848" w:type="dxa"/>
            <w:vAlign w:val="center"/>
          </w:tcPr>
          <w:p w14:paraId="18ADAD4F">
            <w:pPr>
              <w:keepNext w:val="0"/>
              <w:keepLines w:val="0"/>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9</w:t>
            </w:r>
          </w:p>
        </w:tc>
        <w:tc>
          <w:tcPr>
            <w:tcW w:w="3753" w:type="dxa"/>
            <w:vAlign w:val="center"/>
          </w:tcPr>
          <w:p w14:paraId="2789F5B2">
            <w:pPr>
              <w:keepNext w:val="0"/>
              <w:keepLines w:val="0"/>
              <w:suppressLineNumbers w:val="0"/>
              <w:spacing w:before="0" w:beforeAutospacing="0" w:after="0" w:afterAutospacing="0"/>
              <w:ind w:left="0" w:right="0"/>
              <w:jc w:val="left"/>
              <w:rPr>
                <w:rFonts w:hint="eastAsia" w:ascii="仿宋" w:hAnsi="仿宋" w:eastAsia="仿宋" w:cs="仿宋"/>
                <w:sz w:val="21"/>
                <w:szCs w:val="21"/>
              </w:rPr>
            </w:pPr>
            <w:r>
              <w:rPr>
                <w:rFonts w:hint="eastAsia" w:ascii="仿宋" w:hAnsi="仿宋" w:eastAsia="仿宋" w:cs="仿宋"/>
                <w:sz w:val="21"/>
                <w:szCs w:val="21"/>
                <w:lang w:eastAsia="zh-CN"/>
              </w:rPr>
              <w:t>条款</w:t>
            </w:r>
            <w:r>
              <w:rPr>
                <w:rFonts w:hint="eastAsia" w:ascii="仿宋" w:hAnsi="仿宋" w:eastAsia="仿宋" w:cs="仿宋"/>
                <w:sz w:val="21"/>
                <w:szCs w:val="21"/>
                <w:lang w:val="en-US" w:eastAsia="zh-CN"/>
              </w:rPr>
              <w:t>9、10合并</w:t>
            </w:r>
          </w:p>
        </w:tc>
        <w:tc>
          <w:tcPr>
            <w:tcW w:w="2300" w:type="dxa"/>
            <w:vAlign w:val="center"/>
          </w:tcPr>
          <w:p w14:paraId="359BEADA">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lang w:eastAsia="zh-CN"/>
              </w:rPr>
              <w:t>青海大学</w:t>
            </w:r>
          </w:p>
        </w:tc>
        <w:tc>
          <w:tcPr>
            <w:tcW w:w="1164" w:type="dxa"/>
            <w:vAlign w:val="center"/>
          </w:tcPr>
          <w:p w14:paraId="0FF141C1">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采纳</w:t>
            </w:r>
          </w:p>
        </w:tc>
      </w:tr>
      <w:tr w14:paraId="369570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1" w:hRule="exact"/>
        </w:trPr>
        <w:tc>
          <w:tcPr>
            <w:tcW w:w="493" w:type="dxa"/>
            <w:vAlign w:val="center"/>
          </w:tcPr>
          <w:p w14:paraId="3604568D">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10</w:t>
            </w:r>
          </w:p>
        </w:tc>
        <w:tc>
          <w:tcPr>
            <w:tcW w:w="848" w:type="dxa"/>
            <w:vAlign w:val="center"/>
          </w:tcPr>
          <w:p w14:paraId="420A5CCE">
            <w:pPr>
              <w:keepNext w:val="0"/>
              <w:keepLines w:val="0"/>
              <w:suppressLineNumbers w:val="0"/>
              <w:spacing w:before="0" w:beforeAutospacing="0" w:after="0" w:afterAutospacing="0"/>
              <w:ind w:left="0" w:right="0"/>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10.1</w:t>
            </w:r>
          </w:p>
        </w:tc>
        <w:tc>
          <w:tcPr>
            <w:tcW w:w="3753" w:type="dxa"/>
            <w:vAlign w:val="center"/>
          </w:tcPr>
          <w:p w14:paraId="24E71464">
            <w:pPr>
              <w:keepNext w:val="0"/>
              <w:keepLines w:val="0"/>
              <w:suppressLineNumbers w:val="0"/>
              <w:spacing w:before="0" w:beforeAutospacing="0" w:after="0" w:afterAutospacing="0"/>
              <w:ind w:left="0" w:right="0"/>
              <w:jc w:val="left"/>
              <w:rPr>
                <w:rFonts w:hint="eastAsia" w:ascii="仿宋" w:hAnsi="仿宋" w:eastAsia="仿宋" w:cs="仿宋"/>
                <w:sz w:val="21"/>
                <w:szCs w:val="21"/>
                <w:lang w:eastAsia="zh-CN"/>
              </w:rPr>
            </w:pPr>
            <w:r>
              <w:rPr>
                <w:rFonts w:hint="eastAsia" w:ascii="仿宋" w:hAnsi="仿宋" w:eastAsia="仿宋" w:cs="仿宋"/>
                <w:sz w:val="21"/>
                <w:szCs w:val="21"/>
                <w:lang w:eastAsia="zh-CN"/>
              </w:rPr>
              <w:t>修改抗性评价标准内容</w:t>
            </w:r>
          </w:p>
        </w:tc>
        <w:tc>
          <w:tcPr>
            <w:tcW w:w="2300" w:type="dxa"/>
            <w:vAlign w:val="center"/>
          </w:tcPr>
          <w:p w14:paraId="6C572028">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lang w:eastAsia="zh-CN"/>
              </w:rPr>
              <w:t>中国科学院西北高原生物研究所</w:t>
            </w:r>
          </w:p>
        </w:tc>
        <w:tc>
          <w:tcPr>
            <w:tcW w:w="1164" w:type="dxa"/>
            <w:vAlign w:val="center"/>
          </w:tcPr>
          <w:p w14:paraId="4CCB956C">
            <w:pPr>
              <w:keepNext w:val="0"/>
              <w:keepLines w:val="0"/>
              <w:suppressLineNumbers w:val="0"/>
              <w:spacing w:before="0" w:beforeAutospacing="0" w:after="0" w:afterAutospacing="0"/>
              <w:ind w:left="0" w:right="0"/>
              <w:jc w:val="center"/>
              <w:rPr>
                <w:rFonts w:hint="eastAsia" w:ascii="仿宋" w:hAnsi="仿宋" w:eastAsia="仿宋" w:cs="仿宋"/>
                <w:sz w:val="21"/>
                <w:szCs w:val="21"/>
              </w:rPr>
            </w:pPr>
            <w:r>
              <w:rPr>
                <w:rFonts w:hint="eastAsia" w:ascii="仿宋" w:hAnsi="仿宋" w:eastAsia="仿宋" w:cs="仿宋"/>
                <w:sz w:val="21"/>
                <w:szCs w:val="21"/>
              </w:rPr>
              <w:t>采纳</w:t>
            </w:r>
          </w:p>
        </w:tc>
      </w:tr>
      <w:bookmarkEnd w:id="9"/>
    </w:tbl>
    <w:p w14:paraId="0EEFB47C">
      <w:pPr>
        <w:jc w:val="left"/>
        <w:rPr>
          <w:rFonts w:ascii="Times New Roman" w:hAnsi="Times New Roman" w:eastAsia="仿宋_GB2312" w:cs="Times New Roman"/>
          <w:kern w:val="0"/>
          <w:sz w:val="32"/>
          <w:szCs w:val="32"/>
        </w:rPr>
      </w:pPr>
    </w:p>
    <w:p w14:paraId="544B5523">
      <w:pPr>
        <w:keepNext w:val="0"/>
        <w:keepLines w:val="0"/>
        <w:widowControl/>
        <w:suppressLineNumbers w:val="0"/>
        <w:jc w:val="both"/>
        <w:rPr>
          <w:sz w:val="36"/>
          <w:szCs w:val="36"/>
        </w:rPr>
      </w:pPr>
    </w:p>
    <w:p w14:paraId="40C5D4AA">
      <w:pPr>
        <w:keepNext w:val="0"/>
        <w:keepLines w:val="0"/>
        <w:widowControl/>
        <w:suppressLineNumbers w:val="0"/>
        <w:jc w:val="both"/>
        <w:rPr>
          <w:sz w:val="36"/>
          <w:szCs w:val="36"/>
        </w:rPr>
      </w:pPr>
    </w:p>
    <w:p w14:paraId="6FB09482">
      <w:pPr>
        <w:keepNext w:val="0"/>
        <w:keepLines w:val="0"/>
        <w:widowControl/>
        <w:suppressLineNumbers w:val="0"/>
        <w:jc w:val="both"/>
        <w:rPr>
          <w:sz w:val="36"/>
          <w:szCs w:val="36"/>
        </w:rPr>
      </w:pPr>
    </w:p>
    <w:p w14:paraId="0E342786">
      <w:pPr>
        <w:keepNext w:val="0"/>
        <w:keepLines w:val="0"/>
        <w:widowControl/>
        <w:suppressLineNumbers w:val="0"/>
        <w:jc w:val="both"/>
        <w:rPr>
          <w:sz w:val="36"/>
          <w:szCs w:val="36"/>
        </w:rPr>
      </w:pPr>
    </w:p>
    <w:p w14:paraId="5962BBB6">
      <w:pPr>
        <w:keepNext w:val="0"/>
        <w:keepLines w:val="0"/>
        <w:widowControl/>
        <w:suppressLineNumbers w:val="0"/>
        <w:jc w:val="both"/>
        <w:rPr>
          <w:sz w:val="36"/>
          <w:szCs w:val="36"/>
        </w:rPr>
      </w:pPr>
    </w:p>
    <w:p w14:paraId="502012E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600" w:hangingChars="500"/>
        <w:jc w:val="lef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附件2：</w:t>
      </w:r>
    </w:p>
    <w:p w14:paraId="54C00935">
      <w:pPr>
        <w:widowControl w:val="0"/>
        <w:numPr>
          <w:ilvl w:val="0"/>
          <w:numId w:val="0"/>
        </w:numPr>
        <w:spacing w:before="156" w:beforeLines="50" w:after="156" w:afterLines="50"/>
        <w:jc w:val="center"/>
        <w:rPr>
          <w:rFonts w:hint="eastAsia" w:ascii="方正小标宋简体" w:hAnsi="Times New Roman" w:eastAsia="方正小标宋简体" w:cs="Times New Roman"/>
          <w:kern w:val="2"/>
          <w:sz w:val="36"/>
          <w:szCs w:val="36"/>
          <w:lang w:val="en-US" w:eastAsia="zh-CN" w:bidi="ar-SA"/>
        </w:rPr>
      </w:pPr>
      <w:r>
        <w:rPr>
          <w:rFonts w:hint="eastAsia" w:ascii="方正小标宋简体" w:hAnsi="Times New Roman" w:eastAsia="方正小标宋简体" w:cs="Times New Roman"/>
          <w:kern w:val="2"/>
          <w:sz w:val="36"/>
          <w:szCs w:val="36"/>
          <w:lang w:val="en-US" w:eastAsia="zh-CN" w:bidi="ar-SA"/>
        </w:rPr>
        <w:t>团体标准技术审查意见汇总表</w:t>
      </w:r>
    </w:p>
    <w:tbl>
      <w:tblPr>
        <w:tblStyle w:val="8"/>
        <w:tblW w:w="9208" w:type="dxa"/>
        <w:tblInd w:w="-17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691"/>
        <w:gridCol w:w="3517"/>
      </w:tblGrid>
      <w:tr w14:paraId="3F114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exact"/>
        </w:trPr>
        <w:tc>
          <w:tcPr>
            <w:tcW w:w="5691" w:type="dxa"/>
            <w:tcBorders>
              <w:tl2br w:val="nil"/>
              <w:tr2bl w:val="nil"/>
            </w:tcBorders>
            <w:vAlign w:val="top"/>
          </w:tcPr>
          <w:p w14:paraId="7FAA436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left"/>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项目名称:白菜类蔬菜  黄萎病室内抗性鉴定技术规程</w:t>
            </w:r>
          </w:p>
        </w:tc>
        <w:tc>
          <w:tcPr>
            <w:tcW w:w="3517" w:type="dxa"/>
            <w:tcBorders>
              <w:tl2br w:val="nil"/>
              <w:tr2bl w:val="nil"/>
            </w:tcBorders>
            <w:vAlign w:val="center"/>
          </w:tcPr>
          <w:p w14:paraId="14D9947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left"/>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项目编号：QHNX76-2025</w:t>
            </w:r>
          </w:p>
          <w:p w14:paraId="51AC374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left"/>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QAS-JH35-2025</w:t>
            </w:r>
          </w:p>
        </w:tc>
      </w:tr>
      <w:tr w14:paraId="26511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exact"/>
        </w:trPr>
        <w:tc>
          <w:tcPr>
            <w:tcW w:w="5691" w:type="dxa"/>
            <w:tcBorders>
              <w:tl2br w:val="nil"/>
              <w:tr2bl w:val="nil"/>
            </w:tcBorders>
            <w:vAlign w:val="center"/>
          </w:tcPr>
          <w:p w14:paraId="632A80D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left"/>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主编单位：西宁市蔬菜技术服务中心</w:t>
            </w:r>
          </w:p>
        </w:tc>
        <w:tc>
          <w:tcPr>
            <w:tcW w:w="3517" w:type="dxa"/>
            <w:tcBorders>
              <w:tl2br w:val="nil"/>
              <w:tr2bl w:val="nil"/>
            </w:tcBorders>
            <w:vAlign w:val="center"/>
          </w:tcPr>
          <w:p w14:paraId="455C296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left"/>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经办人：张晓梅</w:t>
            </w:r>
          </w:p>
        </w:tc>
      </w:tr>
    </w:tbl>
    <w:tbl>
      <w:tblPr>
        <w:tblStyle w:val="7"/>
        <w:tblW w:w="855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0"/>
        <w:gridCol w:w="1136"/>
        <w:gridCol w:w="3454"/>
        <w:gridCol w:w="2171"/>
        <w:gridCol w:w="1097"/>
      </w:tblGrid>
      <w:tr w14:paraId="76D9D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jc w:val="center"/>
        </w:trPr>
        <w:tc>
          <w:tcPr>
            <w:tcW w:w="700" w:type="dxa"/>
            <w:vAlign w:val="center"/>
          </w:tcPr>
          <w:p w14:paraId="4DE7667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序号</w:t>
            </w:r>
          </w:p>
        </w:tc>
        <w:tc>
          <w:tcPr>
            <w:tcW w:w="1136" w:type="dxa"/>
            <w:vAlign w:val="center"/>
          </w:tcPr>
          <w:p w14:paraId="27AFA46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标准条款</w:t>
            </w:r>
          </w:p>
        </w:tc>
        <w:tc>
          <w:tcPr>
            <w:tcW w:w="3454" w:type="dxa"/>
            <w:vAlign w:val="center"/>
          </w:tcPr>
          <w:p w14:paraId="112C87C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意见内容</w:t>
            </w:r>
          </w:p>
        </w:tc>
        <w:tc>
          <w:tcPr>
            <w:tcW w:w="2171" w:type="dxa"/>
            <w:vAlign w:val="center"/>
          </w:tcPr>
          <w:p w14:paraId="48E5FEF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提出单位</w:t>
            </w:r>
          </w:p>
        </w:tc>
        <w:tc>
          <w:tcPr>
            <w:tcW w:w="1097" w:type="dxa"/>
            <w:vAlign w:val="center"/>
          </w:tcPr>
          <w:p w14:paraId="7D6A534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处理结果</w:t>
            </w:r>
          </w:p>
          <w:p w14:paraId="717B1B8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和理由</w:t>
            </w:r>
          </w:p>
        </w:tc>
      </w:tr>
      <w:tr w14:paraId="6CBC6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2" w:hRule="exact"/>
          <w:jc w:val="center"/>
        </w:trPr>
        <w:tc>
          <w:tcPr>
            <w:tcW w:w="700" w:type="dxa"/>
            <w:vAlign w:val="center"/>
          </w:tcPr>
          <w:p w14:paraId="75D813D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c>
          <w:tcPr>
            <w:tcW w:w="1136" w:type="dxa"/>
            <w:vAlign w:val="center"/>
          </w:tcPr>
          <w:p w14:paraId="75D9D30A">
            <w:pPr>
              <w:keepNext w:val="0"/>
              <w:keepLines w:val="0"/>
              <w:pageBreakBefore w:val="0"/>
              <w:widowControl w:val="0"/>
              <w:numPr>
                <w:ilvl w:val="0"/>
                <w:numId w:val="0"/>
              </w:numPr>
              <w:suppressLineNumbers w:val="0"/>
              <w:kinsoku/>
              <w:wordWrap w:val="0"/>
              <w:overflowPunct/>
              <w:topLinePunct/>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标准名称</w:t>
            </w:r>
          </w:p>
        </w:tc>
        <w:tc>
          <w:tcPr>
            <w:tcW w:w="3454" w:type="dxa"/>
            <w:vAlign w:val="center"/>
          </w:tcPr>
          <w:p w14:paraId="44AD74B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hanging="1050" w:hangingChars="500"/>
              <w:jc w:val="left"/>
              <w:textAlignment w:val="auto"/>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修改为“白菜类蔬菜  黄萎病室内抗性鉴定技术规程”</w:t>
            </w:r>
          </w:p>
        </w:tc>
        <w:tc>
          <w:tcPr>
            <w:tcW w:w="2171" w:type="dxa"/>
            <w:vAlign w:val="center"/>
          </w:tcPr>
          <w:p w14:paraId="5214FB2F">
            <w:pPr>
              <w:keepNext w:val="0"/>
              <w:keepLines w:val="0"/>
              <w:suppressLineNumbers w:val="0"/>
              <w:spacing w:before="0" w:beforeAutospacing="0" w:after="0" w:afterAutospacing="0"/>
              <w:ind w:left="0" w:right="0"/>
              <w:jc w:val="center"/>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原青海省标准化研究所</w:t>
            </w:r>
          </w:p>
        </w:tc>
        <w:tc>
          <w:tcPr>
            <w:tcW w:w="1097" w:type="dxa"/>
            <w:vAlign w:val="center"/>
          </w:tcPr>
          <w:p w14:paraId="4869701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采纳</w:t>
            </w:r>
          </w:p>
        </w:tc>
      </w:tr>
      <w:tr w14:paraId="1F0D7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9" w:hRule="exact"/>
          <w:jc w:val="center"/>
        </w:trPr>
        <w:tc>
          <w:tcPr>
            <w:tcW w:w="700" w:type="dxa"/>
            <w:vAlign w:val="center"/>
          </w:tcPr>
          <w:p w14:paraId="0CFCAD0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2</w:t>
            </w:r>
          </w:p>
        </w:tc>
        <w:tc>
          <w:tcPr>
            <w:tcW w:w="1136" w:type="dxa"/>
            <w:vAlign w:val="center"/>
          </w:tcPr>
          <w:p w14:paraId="6821460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1</w:t>
            </w:r>
          </w:p>
        </w:tc>
        <w:tc>
          <w:tcPr>
            <w:tcW w:w="3454" w:type="dxa"/>
            <w:vAlign w:val="center"/>
          </w:tcPr>
          <w:p w14:paraId="189D92D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hanging="1050" w:hangingChars="500"/>
              <w:jc w:val="left"/>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范围与章标题对应</w:t>
            </w:r>
          </w:p>
        </w:tc>
        <w:tc>
          <w:tcPr>
            <w:tcW w:w="2171" w:type="dxa"/>
            <w:vAlign w:val="center"/>
          </w:tcPr>
          <w:p w14:paraId="5B37C090">
            <w:pPr>
              <w:keepNext w:val="0"/>
              <w:keepLines w:val="0"/>
              <w:suppressLineNumbers w:val="0"/>
              <w:spacing w:before="0" w:beforeAutospacing="0" w:after="0" w:afterAutospacing="0"/>
              <w:ind w:left="0" w:right="0"/>
              <w:jc w:val="center"/>
              <w:rPr>
                <w:rFonts w:hint="eastAsia" w:ascii="仿宋" w:hAnsi="仿宋" w:eastAsia="仿宋" w:cs="仿宋"/>
                <w:kern w:val="2"/>
                <w:sz w:val="21"/>
                <w:szCs w:val="21"/>
                <w:lang w:val="en-US" w:eastAsia="zh-CN" w:bidi="ar-SA"/>
              </w:rPr>
            </w:pPr>
            <w:r>
              <w:rPr>
                <w:rFonts w:hint="eastAsia" w:ascii="仿宋" w:hAnsi="仿宋" w:eastAsia="仿宋" w:cs="仿宋"/>
                <w:kern w:val="0"/>
                <w:sz w:val="21"/>
                <w:szCs w:val="20"/>
                <w:lang w:val="en-US" w:eastAsia="zh-CN" w:bidi="ar-SA"/>
              </w:rPr>
              <w:t>青海大学</w:t>
            </w:r>
          </w:p>
        </w:tc>
        <w:tc>
          <w:tcPr>
            <w:tcW w:w="1097" w:type="dxa"/>
            <w:vAlign w:val="center"/>
          </w:tcPr>
          <w:p w14:paraId="714A485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采纳</w:t>
            </w:r>
          </w:p>
        </w:tc>
      </w:tr>
      <w:tr w14:paraId="2ABF3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exact"/>
          <w:jc w:val="center"/>
        </w:trPr>
        <w:tc>
          <w:tcPr>
            <w:tcW w:w="700" w:type="dxa"/>
            <w:vAlign w:val="center"/>
          </w:tcPr>
          <w:p w14:paraId="1766500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3</w:t>
            </w:r>
          </w:p>
        </w:tc>
        <w:tc>
          <w:tcPr>
            <w:tcW w:w="1136" w:type="dxa"/>
            <w:vAlign w:val="center"/>
          </w:tcPr>
          <w:p w14:paraId="6B76E80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3.1</w:t>
            </w:r>
          </w:p>
        </w:tc>
        <w:tc>
          <w:tcPr>
            <w:tcW w:w="3454" w:type="dxa"/>
            <w:vAlign w:val="center"/>
          </w:tcPr>
          <w:p w14:paraId="017DAD8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hanging="1050" w:hangingChars="500"/>
              <w:jc w:val="left"/>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修改白菜类蔬菜与黄萎病定义</w:t>
            </w:r>
          </w:p>
        </w:tc>
        <w:tc>
          <w:tcPr>
            <w:tcW w:w="2171" w:type="dxa"/>
            <w:vAlign w:val="center"/>
          </w:tcPr>
          <w:p w14:paraId="3982E9AB">
            <w:pPr>
              <w:keepNext w:val="0"/>
              <w:keepLines w:val="0"/>
              <w:suppressLineNumbers w:val="0"/>
              <w:spacing w:before="0" w:beforeAutospacing="0" w:after="0" w:afterAutospacing="0"/>
              <w:ind w:left="0" w:right="0"/>
              <w:jc w:val="center"/>
              <w:rPr>
                <w:rFonts w:hint="eastAsia" w:ascii="仿宋" w:hAnsi="仿宋" w:eastAsia="仿宋" w:cs="仿宋"/>
                <w:kern w:val="2"/>
                <w:sz w:val="21"/>
                <w:szCs w:val="21"/>
                <w:lang w:val="en-US" w:eastAsia="zh-CN" w:bidi="ar-SA"/>
              </w:rPr>
            </w:pPr>
            <w:r>
              <w:rPr>
                <w:rFonts w:hint="eastAsia" w:ascii="仿宋" w:hAnsi="仿宋" w:eastAsia="仿宋" w:cs="仿宋"/>
                <w:kern w:val="0"/>
                <w:sz w:val="21"/>
                <w:szCs w:val="20"/>
                <w:lang w:val="en-US" w:eastAsia="zh-CN" w:bidi="ar-SA"/>
              </w:rPr>
              <w:t>青海省农业技术推广总站</w:t>
            </w:r>
          </w:p>
        </w:tc>
        <w:tc>
          <w:tcPr>
            <w:tcW w:w="1097" w:type="dxa"/>
            <w:vAlign w:val="center"/>
          </w:tcPr>
          <w:p w14:paraId="117BB3D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采纳</w:t>
            </w:r>
          </w:p>
        </w:tc>
      </w:tr>
      <w:tr w14:paraId="7B43E4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1" w:hRule="exact"/>
          <w:jc w:val="center"/>
        </w:trPr>
        <w:tc>
          <w:tcPr>
            <w:tcW w:w="700" w:type="dxa"/>
            <w:vAlign w:val="center"/>
          </w:tcPr>
          <w:p w14:paraId="6C2E6E9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4</w:t>
            </w:r>
          </w:p>
        </w:tc>
        <w:tc>
          <w:tcPr>
            <w:tcW w:w="1136" w:type="dxa"/>
            <w:vAlign w:val="center"/>
          </w:tcPr>
          <w:p w14:paraId="40917C1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4</w:t>
            </w:r>
          </w:p>
        </w:tc>
        <w:tc>
          <w:tcPr>
            <w:tcW w:w="3454" w:type="dxa"/>
            <w:vAlign w:val="center"/>
          </w:tcPr>
          <w:p w14:paraId="7CA625D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hanging="1050" w:hangingChars="500"/>
              <w:jc w:val="left"/>
              <w:textAlignment w:val="auto"/>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调换4.1培养基与4.2试剂前后位置；</w:t>
            </w:r>
          </w:p>
        </w:tc>
        <w:tc>
          <w:tcPr>
            <w:tcW w:w="2171" w:type="dxa"/>
            <w:vAlign w:val="center"/>
          </w:tcPr>
          <w:p w14:paraId="3040DC00">
            <w:pPr>
              <w:keepNext w:val="0"/>
              <w:keepLines w:val="0"/>
              <w:suppressLineNumbers w:val="0"/>
              <w:spacing w:before="0" w:beforeAutospacing="0" w:after="0" w:afterAutospacing="0"/>
              <w:ind w:left="0" w:right="0"/>
              <w:jc w:val="center"/>
              <w:rPr>
                <w:rFonts w:hint="eastAsia" w:ascii="仿宋" w:hAnsi="仿宋" w:eastAsia="仿宋" w:cs="仿宋"/>
                <w:kern w:val="2"/>
                <w:sz w:val="21"/>
                <w:szCs w:val="21"/>
                <w:lang w:val="en-US" w:eastAsia="zh-CN" w:bidi="ar-SA"/>
              </w:rPr>
            </w:pPr>
            <w:r>
              <w:rPr>
                <w:rFonts w:hint="eastAsia" w:ascii="仿宋" w:hAnsi="仿宋" w:eastAsia="仿宋" w:cs="仿宋"/>
                <w:kern w:val="0"/>
                <w:sz w:val="21"/>
                <w:szCs w:val="20"/>
                <w:lang w:val="en-US" w:eastAsia="zh-CN" w:bidi="ar-SA"/>
              </w:rPr>
              <w:t>中国科学院西北高原生物研究所</w:t>
            </w:r>
          </w:p>
        </w:tc>
        <w:tc>
          <w:tcPr>
            <w:tcW w:w="1097" w:type="dxa"/>
            <w:vAlign w:val="center"/>
          </w:tcPr>
          <w:p w14:paraId="03FA3AB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采纳</w:t>
            </w:r>
          </w:p>
        </w:tc>
      </w:tr>
      <w:tr w14:paraId="7E765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24" w:hRule="exact"/>
          <w:jc w:val="center"/>
        </w:trPr>
        <w:tc>
          <w:tcPr>
            <w:tcW w:w="700" w:type="dxa"/>
            <w:vAlign w:val="center"/>
          </w:tcPr>
          <w:p w14:paraId="342210D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5</w:t>
            </w:r>
          </w:p>
        </w:tc>
        <w:tc>
          <w:tcPr>
            <w:tcW w:w="1136" w:type="dxa"/>
            <w:vAlign w:val="center"/>
          </w:tcPr>
          <w:p w14:paraId="781D28F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4.1.1</w:t>
            </w:r>
          </w:p>
        </w:tc>
        <w:tc>
          <w:tcPr>
            <w:tcW w:w="3454" w:type="dxa"/>
            <w:vAlign w:val="center"/>
          </w:tcPr>
          <w:p w14:paraId="79F511C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left"/>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马铃薯葡萄糖液体培养基修改为“马铃薯葡萄糖液体培养基（PDA培养基）”，与后文出现的PDA培养基对应。</w:t>
            </w:r>
          </w:p>
        </w:tc>
        <w:tc>
          <w:tcPr>
            <w:tcW w:w="2171" w:type="dxa"/>
            <w:vAlign w:val="center"/>
          </w:tcPr>
          <w:p w14:paraId="0846EA7D">
            <w:pPr>
              <w:keepNext w:val="0"/>
              <w:keepLines w:val="0"/>
              <w:suppressLineNumbers w:val="0"/>
              <w:spacing w:before="0" w:beforeAutospacing="0" w:after="0" w:afterAutospacing="0"/>
              <w:ind w:left="0" w:right="0"/>
              <w:jc w:val="center"/>
              <w:rPr>
                <w:rFonts w:hint="eastAsia" w:ascii="仿宋" w:hAnsi="仿宋" w:eastAsia="仿宋" w:cs="仿宋"/>
                <w:kern w:val="2"/>
                <w:sz w:val="21"/>
                <w:szCs w:val="21"/>
                <w:lang w:val="en-US" w:eastAsia="zh-CN" w:bidi="ar-SA"/>
              </w:rPr>
            </w:pPr>
            <w:r>
              <w:rPr>
                <w:rFonts w:hint="eastAsia" w:ascii="仿宋" w:hAnsi="仿宋" w:eastAsia="仿宋" w:cs="仿宋"/>
                <w:kern w:val="0"/>
                <w:sz w:val="21"/>
                <w:szCs w:val="20"/>
                <w:lang w:val="en-US" w:eastAsia="zh-CN" w:bidi="ar-SA"/>
              </w:rPr>
              <w:t>青海大学</w:t>
            </w:r>
          </w:p>
        </w:tc>
        <w:tc>
          <w:tcPr>
            <w:tcW w:w="1097" w:type="dxa"/>
            <w:vAlign w:val="center"/>
          </w:tcPr>
          <w:p w14:paraId="08132B1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1050" w:leftChars="0" w:right="0" w:rightChars="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采纳</w:t>
            </w:r>
          </w:p>
        </w:tc>
      </w:tr>
      <w:tr w14:paraId="4A4AC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1" w:hRule="exact"/>
          <w:jc w:val="center"/>
        </w:trPr>
        <w:tc>
          <w:tcPr>
            <w:tcW w:w="700" w:type="dxa"/>
            <w:vAlign w:val="center"/>
          </w:tcPr>
          <w:p w14:paraId="331A03D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6</w:t>
            </w:r>
          </w:p>
        </w:tc>
        <w:tc>
          <w:tcPr>
            <w:tcW w:w="1136" w:type="dxa"/>
            <w:vAlign w:val="center"/>
          </w:tcPr>
          <w:p w14:paraId="7A5BFB0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w:t>
            </w:r>
          </w:p>
        </w:tc>
        <w:tc>
          <w:tcPr>
            <w:tcW w:w="3454" w:type="dxa"/>
            <w:vAlign w:val="center"/>
          </w:tcPr>
          <w:p w14:paraId="5C4A69B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left"/>
              <w:textAlignment w:val="auto"/>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7.1、7.2精炼表述内容</w:t>
            </w:r>
          </w:p>
        </w:tc>
        <w:tc>
          <w:tcPr>
            <w:tcW w:w="2171" w:type="dxa"/>
            <w:vAlign w:val="center"/>
          </w:tcPr>
          <w:p w14:paraId="20F482C4">
            <w:pPr>
              <w:keepNext w:val="0"/>
              <w:keepLines w:val="0"/>
              <w:suppressLineNumbers w:val="0"/>
              <w:spacing w:before="0" w:beforeAutospacing="0" w:after="0" w:afterAutospacing="0"/>
              <w:ind w:left="0" w:right="0"/>
              <w:jc w:val="center"/>
              <w:rPr>
                <w:rFonts w:hint="eastAsia" w:ascii="仿宋" w:hAnsi="仿宋" w:eastAsia="仿宋" w:cs="仿宋"/>
                <w:kern w:val="2"/>
                <w:sz w:val="21"/>
                <w:szCs w:val="21"/>
                <w:lang w:val="en-US" w:eastAsia="zh-CN" w:bidi="ar-SA"/>
              </w:rPr>
            </w:pPr>
            <w:r>
              <w:rPr>
                <w:rFonts w:hint="eastAsia" w:ascii="仿宋" w:hAnsi="仿宋" w:eastAsia="仿宋" w:cs="仿宋"/>
                <w:kern w:val="0"/>
                <w:sz w:val="21"/>
                <w:szCs w:val="20"/>
                <w:lang w:val="en-US" w:eastAsia="zh-CN" w:bidi="ar-SA"/>
              </w:rPr>
              <w:t>青海省农业技术推广总站</w:t>
            </w:r>
          </w:p>
        </w:tc>
        <w:tc>
          <w:tcPr>
            <w:tcW w:w="1097" w:type="dxa"/>
            <w:vAlign w:val="center"/>
          </w:tcPr>
          <w:p w14:paraId="429FF6A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1050" w:leftChars="0" w:right="0" w:rightChars="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采纳</w:t>
            </w:r>
          </w:p>
        </w:tc>
      </w:tr>
      <w:tr w14:paraId="1168A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exact"/>
          <w:jc w:val="center"/>
        </w:trPr>
        <w:tc>
          <w:tcPr>
            <w:tcW w:w="700" w:type="dxa"/>
            <w:vAlign w:val="center"/>
          </w:tcPr>
          <w:p w14:paraId="34CF083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7</w:t>
            </w:r>
          </w:p>
        </w:tc>
        <w:tc>
          <w:tcPr>
            <w:tcW w:w="1136" w:type="dxa"/>
            <w:vAlign w:val="center"/>
          </w:tcPr>
          <w:p w14:paraId="75167BC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8</w:t>
            </w:r>
          </w:p>
        </w:tc>
        <w:tc>
          <w:tcPr>
            <w:tcW w:w="3454" w:type="dxa"/>
            <w:vAlign w:val="center"/>
          </w:tcPr>
          <w:p w14:paraId="69F8662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left"/>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精简优化第8章抗性鉴定相关内容，删除8.4材料处理</w:t>
            </w:r>
          </w:p>
        </w:tc>
        <w:tc>
          <w:tcPr>
            <w:tcW w:w="2171" w:type="dxa"/>
            <w:vAlign w:val="center"/>
          </w:tcPr>
          <w:p w14:paraId="24AE9617">
            <w:pPr>
              <w:keepNext w:val="0"/>
              <w:keepLines w:val="0"/>
              <w:suppressLineNumbers w:val="0"/>
              <w:spacing w:before="0" w:beforeAutospacing="0" w:after="0" w:afterAutospacing="0"/>
              <w:ind w:left="0" w:right="0"/>
              <w:jc w:val="center"/>
              <w:rPr>
                <w:rFonts w:hint="eastAsia" w:ascii="仿宋" w:hAnsi="仿宋" w:eastAsia="仿宋" w:cs="仿宋"/>
                <w:kern w:val="2"/>
                <w:sz w:val="21"/>
                <w:szCs w:val="21"/>
                <w:lang w:val="en-US" w:eastAsia="zh-CN" w:bidi="ar-SA"/>
              </w:rPr>
            </w:pPr>
            <w:r>
              <w:rPr>
                <w:rFonts w:hint="eastAsia" w:ascii="仿宋" w:hAnsi="仿宋" w:eastAsia="仿宋" w:cs="仿宋"/>
                <w:kern w:val="0"/>
                <w:sz w:val="21"/>
                <w:szCs w:val="20"/>
                <w:lang w:val="en-US" w:eastAsia="zh-CN" w:bidi="ar-SA"/>
              </w:rPr>
              <w:t>青海省农林科学院</w:t>
            </w:r>
          </w:p>
        </w:tc>
        <w:tc>
          <w:tcPr>
            <w:tcW w:w="1097" w:type="dxa"/>
            <w:vAlign w:val="center"/>
          </w:tcPr>
          <w:p w14:paraId="5CD63F9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1050" w:leftChars="0" w:right="0" w:rightChars="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采纳</w:t>
            </w:r>
          </w:p>
        </w:tc>
      </w:tr>
      <w:tr w14:paraId="2ECFF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5" w:hRule="exact"/>
          <w:jc w:val="center"/>
        </w:trPr>
        <w:tc>
          <w:tcPr>
            <w:tcW w:w="700" w:type="dxa"/>
            <w:vAlign w:val="center"/>
          </w:tcPr>
          <w:p w14:paraId="540685B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8</w:t>
            </w:r>
          </w:p>
        </w:tc>
        <w:tc>
          <w:tcPr>
            <w:tcW w:w="1136" w:type="dxa"/>
            <w:vAlign w:val="center"/>
          </w:tcPr>
          <w:p w14:paraId="7999247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center"/>
              <w:textAlignment w:val="auto"/>
              <w:rPr>
                <w:rFonts w:hint="default"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9</w:t>
            </w:r>
          </w:p>
        </w:tc>
        <w:tc>
          <w:tcPr>
            <w:tcW w:w="3454" w:type="dxa"/>
            <w:vAlign w:val="center"/>
          </w:tcPr>
          <w:p w14:paraId="457AB88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left"/>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鉴定记载修改为“档案管理”</w:t>
            </w:r>
          </w:p>
        </w:tc>
        <w:tc>
          <w:tcPr>
            <w:tcW w:w="2171" w:type="dxa"/>
            <w:vAlign w:val="center"/>
          </w:tcPr>
          <w:p w14:paraId="0EC360D7">
            <w:pPr>
              <w:keepNext w:val="0"/>
              <w:keepLines w:val="0"/>
              <w:suppressLineNumbers w:val="0"/>
              <w:spacing w:before="0" w:beforeAutospacing="0" w:after="0" w:afterAutospacing="0"/>
              <w:ind w:left="0" w:right="0"/>
              <w:jc w:val="center"/>
              <w:rPr>
                <w:rFonts w:hint="default" w:ascii="仿宋" w:hAnsi="仿宋" w:eastAsia="仿宋" w:cs="仿宋"/>
                <w:kern w:val="2"/>
                <w:sz w:val="21"/>
                <w:szCs w:val="21"/>
                <w:lang w:val="en-US" w:eastAsia="zh-CN" w:bidi="ar-SA"/>
              </w:rPr>
            </w:pPr>
            <w:r>
              <w:rPr>
                <w:rFonts w:hint="default" w:ascii="仿宋" w:hAnsi="仿宋" w:eastAsia="仿宋" w:cs="仿宋"/>
                <w:kern w:val="0"/>
                <w:sz w:val="21"/>
                <w:szCs w:val="20"/>
                <w:lang w:val="en-US" w:eastAsia="zh-CN" w:bidi="ar-SA"/>
              </w:rPr>
              <w:t>青海省农林科学院</w:t>
            </w:r>
          </w:p>
        </w:tc>
        <w:tc>
          <w:tcPr>
            <w:tcW w:w="1097" w:type="dxa"/>
            <w:vAlign w:val="center"/>
          </w:tcPr>
          <w:p w14:paraId="500AD72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1050" w:leftChars="0" w:right="0" w:rightChars="0" w:hanging="1050" w:hangingChars="500"/>
              <w:jc w:val="center"/>
              <w:textAlignment w:val="auto"/>
              <w:rPr>
                <w:rFonts w:hint="eastAsia" w:ascii="仿宋" w:hAnsi="仿宋" w:eastAsia="仿宋" w:cs="仿宋"/>
                <w:kern w:val="2"/>
                <w:sz w:val="21"/>
                <w:szCs w:val="21"/>
                <w:lang w:val="en-US" w:eastAsia="zh-CN" w:bidi="ar-SA"/>
              </w:rPr>
            </w:pPr>
            <w:r>
              <w:rPr>
                <w:rFonts w:hint="eastAsia" w:ascii="仿宋" w:hAnsi="仿宋" w:eastAsia="仿宋" w:cs="仿宋"/>
                <w:kern w:val="2"/>
                <w:sz w:val="21"/>
                <w:szCs w:val="21"/>
                <w:lang w:val="en-US" w:eastAsia="zh-CN" w:bidi="ar-SA"/>
              </w:rPr>
              <w:t>采纳</w:t>
            </w:r>
          </w:p>
        </w:tc>
      </w:tr>
    </w:tbl>
    <w:p w14:paraId="024405E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95" w:beforeLines="30" w:beforeAutospacing="0" w:after="313" w:afterLines="100" w:afterAutospacing="0" w:line="240" w:lineRule="auto"/>
        <w:ind w:left="0" w:right="0" w:hanging="1050" w:hangingChars="500"/>
        <w:jc w:val="left"/>
        <w:textAlignment w:val="auto"/>
        <w:rPr>
          <w:rFonts w:hint="eastAsia" w:ascii="仿宋" w:hAnsi="仿宋" w:eastAsia="仿宋" w:cs="仿宋"/>
          <w:kern w:val="2"/>
          <w:sz w:val="21"/>
          <w:szCs w:val="21"/>
          <w:lang w:val="en-US" w:eastAsia="zh-CN" w:bidi="ar-SA"/>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G Times">
    <w:panose1 w:val="02020603050405020304"/>
    <w:charset w:val="00"/>
    <w:family w:val="roman"/>
    <w:pitch w:val="default"/>
    <w:sig w:usb0="00000007" w:usb1="00000000" w:usb2="00000000" w:usb3="00000000" w:csb0="00000093" w:csb1="00000000"/>
  </w:font>
  <w:font w:name="方正小标宋简体">
    <w:altName w:val="黑体"/>
    <w:panose1 w:val="00000000000000000000"/>
    <w:charset w:val="86"/>
    <w:family w:val="script"/>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34BEF">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03E92AA">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03E92AA">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C352AB"/>
    <w:multiLevelType w:val="singleLevel"/>
    <w:tmpl w:val="18C352AB"/>
    <w:lvl w:ilvl="0" w:tentative="0">
      <w:start w:val="3"/>
      <w:numFmt w:val="chineseCounting"/>
      <w:suff w:val="nothing"/>
      <w:lvlText w:val="（%1）"/>
      <w:lvlJc w:val="left"/>
      <w:rPr>
        <w:rFonts w:hint="eastAsia"/>
      </w:rPr>
    </w:lvl>
  </w:abstractNum>
  <w:abstractNum w:abstractNumId="1">
    <w:nsid w:val="1FC91163"/>
    <w:multiLevelType w:val="multilevel"/>
    <w:tmpl w:val="1FC91163"/>
    <w:lvl w:ilvl="0" w:tentative="0">
      <w:start w:val="1"/>
      <w:numFmt w:val="decimal"/>
      <w:pStyle w:val="11"/>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3"/>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60B55DC2"/>
    <w:multiLevelType w:val="multilevel"/>
    <w:tmpl w:val="60B55DC2"/>
    <w:lvl w:ilvl="0" w:tentative="0">
      <w:start w:val="1"/>
      <w:numFmt w:val="upperLetter"/>
      <w:lvlText w:val="%1"/>
      <w:lvlJc w:val="left"/>
      <w:pPr>
        <w:tabs>
          <w:tab w:val="left" w:pos="0"/>
        </w:tabs>
        <w:ind w:left="0" w:hanging="425"/>
      </w:pPr>
      <w:rPr>
        <w:rFonts w:hint="eastAsia"/>
      </w:rPr>
    </w:lvl>
    <w:lvl w:ilvl="1" w:tentative="0">
      <w:start w:val="1"/>
      <w:numFmt w:val="decimal"/>
      <w:pStyle w:val="19"/>
      <w:suff w:val="nothing"/>
      <w:lvlText w:val="表%1.%2　"/>
      <w:lvlJc w:val="left"/>
      <w:pPr>
        <w:ind w:left="567" w:hanging="567"/>
      </w:pPr>
      <w:rPr>
        <w:rFonts w:hint="eastAsia"/>
      </w:rPr>
    </w:lvl>
    <w:lvl w:ilvl="2" w:tentative="0">
      <w:start w:val="1"/>
      <w:numFmt w:val="decimal"/>
      <w:lvlText w:val="%1.%2.%3"/>
      <w:lvlJc w:val="left"/>
      <w:pPr>
        <w:tabs>
          <w:tab w:val="left" w:pos="993"/>
        </w:tabs>
        <w:ind w:left="993" w:hanging="567"/>
      </w:pPr>
      <w:rPr>
        <w:rFonts w:hint="eastAsia"/>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3">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1"/>
      </w:rPr>
    </w:lvl>
    <w:lvl w:ilvl="2" w:tentative="0">
      <w:start w:val="1"/>
      <w:numFmt w:val="decimal"/>
      <w:suff w:val="nothing"/>
      <w:lvlText w:val="%1%2.%3　"/>
      <w:lvlJc w:val="left"/>
      <w:pPr>
        <w:ind w:left="21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567841"/>
    <w:rsid w:val="03E178D3"/>
    <w:rsid w:val="0C126F15"/>
    <w:rsid w:val="106D4908"/>
    <w:rsid w:val="120F30D7"/>
    <w:rsid w:val="13070B01"/>
    <w:rsid w:val="14DE3B0C"/>
    <w:rsid w:val="17B60A6C"/>
    <w:rsid w:val="18721B87"/>
    <w:rsid w:val="19141B48"/>
    <w:rsid w:val="197D6543"/>
    <w:rsid w:val="19FB1498"/>
    <w:rsid w:val="1F9B0F7D"/>
    <w:rsid w:val="258450B7"/>
    <w:rsid w:val="27936013"/>
    <w:rsid w:val="2D0B58AF"/>
    <w:rsid w:val="303E0F0F"/>
    <w:rsid w:val="312D4842"/>
    <w:rsid w:val="33A14438"/>
    <w:rsid w:val="36E856D8"/>
    <w:rsid w:val="3ECD7351"/>
    <w:rsid w:val="41656418"/>
    <w:rsid w:val="41B76645"/>
    <w:rsid w:val="43924585"/>
    <w:rsid w:val="46DC10A8"/>
    <w:rsid w:val="48120F86"/>
    <w:rsid w:val="48162B6A"/>
    <w:rsid w:val="4BA06130"/>
    <w:rsid w:val="4BD50193"/>
    <w:rsid w:val="4C716A0D"/>
    <w:rsid w:val="4D957A88"/>
    <w:rsid w:val="4EE13152"/>
    <w:rsid w:val="4EEE6156"/>
    <w:rsid w:val="506019B6"/>
    <w:rsid w:val="528739A6"/>
    <w:rsid w:val="5320640C"/>
    <w:rsid w:val="54CA0692"/>
    <w:rsid w:val="554D7E84"/>
    <w:rsid w:val="558E197D"/>
    <w:rsid w:val="564D2507"/>
    <w:rsid w:val="56C25526"/>
    <w:rsid w:val="56CC587F"/>
    <w:rsid w:val="57032C9C"/>
    <w:rsid w:val="59857BB7"/>
    <w:rsid w:val="5B560F4C"/>
    <w:rsid w:val="5B9B1E19"/>
    <w:rsid w:val="5BDA73BB"/>
    <w:rsid w:val="5E5358DD"/>
    <w:rsid w:val="5E916D32"/>
    <w:rsid w:val="5EDB35D7"/>
    <w:rsid w:val="5F9D4BE1"/>
    <w:rsid w:val="5FC7735F"/>
    <w:rsid w:val="61A16BC9"/>
    <w:rsid w:val="6C437F89"/>
    <w:rsid w:val="6DEC070D"/>
    <w:rsid w:val="6F1919A5"/>
    <w:rsid w:val="721C4CD0"/>
    <w:rsid w:val="733A4416"/>
    <w:rsid w:val="73784C27"/>
    <w:rsid w:val="73F612E4"/>
    <w:rsid w:val="74D94C19"/>
    <w:rsid w:val="761D60DC"/>
    <w:rsid w:val="78C24106"/>
    <w:rsid w:val="7AE15CE4"/>
    <w:rsid w:val="7BD572BD"/>
    <w:rsid w:val="7CFD019A"/>
    <w:rsid w:val="7D0D6529"/>
    <w:rsid w:val="7D4614E8"/>
    <w:rsid w:val="7E1A7920"/>
    <w:rsid w:val="7EA373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caption"/>
    <w:basedOn w:val="3"/>
    <w:next w:val="4"/>
    <w:qFormat/>
    <w:uiPriority w:val="0"/>
    <w:pPr>
      <w:spacing w:before="60" w:after="60" w:line="240" w:lineRule="atLeast"/>
      <w:ind w:firstLine="0"/>
      <w:jc w:val="center"/>
    </w:pPr>
    <w:rPr>
      <w:rFonts w:eastAsia="黑体"/>
      <w:sz w:val="21"/>
    </w:rPr>
  </w:style>
  <w:style w:type="paragraph" w:customStyle="1" w:styleId="3">
    <w:name w:val="图片"/>
    <w:basedOn w:val="1"/>
    <w:next w:val="2"/>
    <w:qFormat/>
    <w:uiPriority w:val="0"/>
    <w:pPr>
      <w:keepNext/>
      <w:widowControl/>
      <w:spacing w:line="312" w:lineRule="auto"/>
      <w:ind w:firstLine="476"/>
      <w:jc w:val="left"/>
    </w:pPr>
    <w:rPr>
      <w:rFonts w:ascii="Times New Roman" w:hAnsi="Times New Roman" w:eastAsia="仿宋_GB2312" w:cs="Times New Roman"/>
      <w:spacing w:val="-5"/>
      <w:kern w:val="0"/>
      <w:szCs w:val="20"/>
    </w:rPr>
  </w:style>
  <w:style w:type="paragraph" w:styleId="4">
    <w:name w:val="Body Text"/>
    <w:basedOn w:val="1"/>
    <w:qFormat/>
    <w:uiPriority w:val="0"/>
    <w:rPr>
      <w:rFonts w:ascii="Times New Roman" w:hAnsi="Times New Roman" w:cs="CG Times"/>
      <w:b/>
      <w:bCs/>
      <w:szCs w:val="20"/>
      <w:lang w:bidi="he-IL"/>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0">
    <w:name w:val="Hyperlink"/>
    <w:qFormat/>
    <w:uiPriority w:val="99"/>
    <w:rPr>
      <w:rFonts w:cs="Times New Roman"/>
      <w:color w:val="0000FF"/>
      <w:u w:val="single"/>
    </w:rPr>
  </w:style>
  <w:style w:type="paragraph" w:customStyle="1" w:styleId="11">
    <w:name w:val="章标题"/>
    <w:next w:val="12"/>
    <w:qFormat/>
    <w:uiPriority w:val="0"/>
    <w:pPr>
      <w:numPr>
        <w:ilvl w:val="0"/>
        <w:numId w:val="1"/>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2">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13">
    <w:name w:val="一级条标题"/>
    <w:next w:val="12"/>
    <w:qFormat/>
    <w:uiPriority w:val="0"/>
    <w:pPr>
      <w:numPr>
        <w:ilvl w:val="1"/>
        <w:numId w:val="1"/>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4">
    <w:name w:val="三级标题"/>
    <w:basedOn w:val="1"/>
    <w:next w:val="1"/>
    <w:qFormat/>
    <w:uiPriority w:val="0"/>
    <w:pPr>
      <w:keepNext/>
      <w:keepLines/>
      <w:tabs>
        <w:tab w:val="left" w:pos="0"/>
      </w:tabs>
      <w:spacing w:before="240" w:after="120" w:line="240" w:lineRule="auto"/>
      <w:ind w:firstLine="480"/>
      <w:outlineLvl w:val="2"/>
    </w:pPr>
    <w:rPr>
      <w:rFonts w:eastAsia="黑体"/>
    </w:rPr>
  </w:style>
  <w:style w:type="paragraph" w:customStyle="1" w:styleId="15">
    <w:name w:val="表名"/>
    <w:basedOn w:val="1"/>
    <w:qFormat/>
    <w:uiPriority w:val="0"/>
    <w:pPr>
      <w:spacing w:before="120" w:after="120" w:line="240" w:lineRule="auto"/>
      <w:jc w:val="center"/>
    </w:pPr>
    <w:rPr>
      <w:rFonts w:hint="eastAsia"/>
      <w:sz w:val="21"/>
      <w:szCs w:val="32"/>
    </w:rPr>
  </w:style>
  <w:style w:type="paragraph" w:customStyle="1" w:styleId="16">
    <w:name w:val="图名"/>
    <w:basedOn w:val="1"/>
    <w:qFormat/>
    <w:uiPriority w:val="0"/>
    <w:pPr>
      <w:spacing w:before="120" w:after="240" w:line="240" w:lineRule="auto"/>
      <w:jc w:val="center"/>
    </w:pPr>
    <w:rPr>
      <w:rFonts w:hint="eastAsia"/>
      <w:sz w:val="21"/>
      <w:szCs w:val="32"/>
    </w:rPr>
  </w:style>
  <w:style w:type="paragraph" w:customStyle="1" w:styleId="17">
    <w:name w:val="Table Text"/>
    <w:basedOn w:val="1"/>
    <w:semiHidden/>
    <w:qFormat/>
    <w:uiPriority w:val="0"/>
    <w:rPr>
      <w:rFonts w:ascii="宋体" w:hAnsi="宋体" w:eastAsia="宋体" w:cs="宋体"/>
      <w:sz w:val="20"/>
      <w:szCs w:val="20"/>
      <w:lang w:val="en-US" w:eastAsia="en-US" w:bidi="ar-SA"/>
    </w:rPr>
  </w:style>
  <w:style w:type="table" w:customStyle="1" w:styleId="18">
    <w:name w:val="Table Normal"/>
    <w:unhideWhenUsed/>
    <w:qFormat/>
    <w:uiPriority w:val="0"/>
    <w:tblPr>
      <w:tblCellMar>
        <w:top w:w="0" w:type="dxa"/>
        <w:left w:w="0" w:type="dxa"/>
        <w:bottom w:w="0" w:type="dxa"/>
        <w:right w:w="0" w:type="dxa"/>
      </w:tblCellMar>
    </w:tblPr>
  </w:style>
  <w:style w:type="paragraph" w:customStyle="1" w:styleId="19">
    <w:name w:val="附录表标题"/>
    <w:basedOn w:val="1"/>
    <w:next w:val="12"/>
    <w:qFormat/>
    <w:uiPriority w:val="0"/>
    <w:pPr>
      <w:numPr>
        <w:ilvl w:val="1"/>
        <w:numId w:val="2"/>
      </w:numPr>
      <w:spacing w:beforeLines="50" w:afterLines="50"/>
      <w:jc w:val="center"/>
    </w:pPr>
    <w:rPr>
      <w:rFonts w:ascii="黑体" w:hAnsi="Times New Roman" w:eastAsia="黑体" w:cs="Times New Roman"/>
      <w:szCs w:val="21"/>
    </w:rPr>
  </w:style>
  <w:style w:type="paragraph" w:customStyle="1" w:styleId="20">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213</Words>
  <Characters>244</Characters>
  <Lines>1</Lines>
  <Paragraphs>1</Paragraphs>
  <TotalTime>1</TotalTime>
  <ScaleCrop>false</ScaleCrop>
  <LinksUpToDate>false</LinksUpToDate>
  <CharactersWithSpaces>373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2025-09-15T03:01:00Z</dcterms:created>
  <dc:creator>Administrator</dc:creator>
  <cp:lastModifiedBy>大神</cp:lastModifiedBy>
  <dcterms:modified xsi:type="dcterms:W3CDTF">2010-12-31T16:55:13Z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eyJoZGlkIjoiMGE1ODg3ZDZjOTJiZDJiNWYxMDAwNmQxOGI1NjEzYTYiLCJ1c2VySWQiOiIxMDc0MTUwOTc5In0=</vt:lpwstr>
  </property>
  <property fmtid="{D5CDD505-2E9C-101B-9397-08002B2CF9AE}" pid="4" name="ICV">
    <vt:lpwstr>86C953C387694AD58C53E70DAA1359AA_12</vt:lpwstr>
  </property>
</Properties>
</file>