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8C31F">
      <w:pPr>
        <w:widowControl/>
        <w:numPr>
          <w:ilvl w:val="0"/>
          <w:numId w:val="1"/>
        </w:numPr>
        <w:spacing w:line="360" w:lineRule="auto"/>
        <w:jc w:val="center"/>
        <w:outlineLvl w:val="1"/>
        <w:rPr>
          <w:rFonts w:ascii="Times New Roman" w:hAnsi="Times New Roman" w:eastAsia="黑体" w:cs="Times New Roman"/>
          <w:bCs/>
          <w:kern w:val="0"/>
          <w:sz w:val="28"/>
          <w:szCs w:val="28"/>
        </w:rPr>
      </w:pPr>
    </w:p>
    <w:p w14:paraId="26CB9459">
      <w:pPr>
        <w:widowControl/>
        <w:numPr>
          <w:ilvl w:val="0"/>
          <w:numId w:val="1"/>
        </w:numPr>
        <w:spacing w:line="360" w:lineRule="auto"/>
        <w:jc w:val="center"/>
        <w:outlineLvl w:val="1"/>
        <w:rPr>
          <w:rFonts w:ascii="Times New Roman" w:hAnsi="Times New Roman" w:eastAsia="黑体" w:cs="Times New Roman"/>
          <w:bCs/>
          <w:kern w:val="0"/>
          <w:sz w:val="28"/>
          <w:szCs w:val="28"/>
        </w:rPr>
      </w:pPr>
    </w:p>
    <w:p w14:paraId="5936B2ED">
      <w:pPr>
        <w:widowControl/>
        <w:numPr>
          <w:ilvl w:val="0"/>
          <w:numId w:val="1"/>
        </w:numPr>
        <w:spacing w:line="360" w:lineRule="auto"/>
        <w:jc w:val="center"/>
        <w:outlineLvl w:val="1"/>
        <w:rPr>
          <w:rFonts w:ascii="Times New Roman" w:hAnsi="Times New Roman" w:eastAsia="黑体" w:cs="Times New Roman"/>
          <w:bCs/>
          <w:kern w:val="0"/>
          <w:sz w:val="28"/>
          <w:szCs w:val="28"/>
        </w:rPr>
      </w:pPr>
    </w:p>
    <w:p w14:paraId="7D02183B">
      <w:pPr>
        <w:jc w:val="center"/>
        <w:rPr>
          <w:rFonts w:ascii="Times New Roman" w:hAnsi="Times New Roman" w:eastAsia="黑体" w:cs="Times New Roman"/>
          <w:sz w:val="44"/>
          <w:szCs w:val="44"/>
        </w:rPr>
      </w:pPr>
      <w:r>
        <w:rPr>
          <w:rFonts w:hint="eastAsia" w:ascii="Times New Roman" w:hAnsi="Times New Roman" w:eastAsia="黑体" w:cs="Times New Roman"/>
          <w:sz w:val="44"/>
          <w:szCs w:val="44"/>
        </w:rPr>
        <w:t>《</w:t>
      </w:r>
      <w:r>
        <w:rPr>
          <w:rFonts w:hint="eastAsia" w:ascii="Times New Roman" w:hAnsi="Times New Roman" w:eastAsia="黑体" w:cs="Times New Roman"/>
          <w:sz w:val="44"/>
          <w:szCs w:val="44"/>
          <w:lang w:eastAsia="zh-CN"/>
        </w:rPr>
        <w:t>甘蓝类蔬菜</w:t>
      </w:r>
      <w:r>
        <w:rPr>
          <w:rFonts w:hint="eastAsia" w:ascii="Times New Roman" w:hAnsi="Times New Roman" w:eastAsia="黑体" w:cs="Times New Roman"/>
          <w:sz w:val="44"/>
          <w:szCs w:val="44"/>
          <w:lang w:val="en-US" w:eastAsia="zh-CN"/>
        </w:rPr>
        <w:t xml:space="preserve"> </w:t>
      </w:r>
      <w:r>
        <w:rPr>
          <w:rFonts w:hint="eastAsia" w:ascii="Times New Roman" w:hAnsi="Times New Roman" w:eastAsia="黑体" w:cs="Times New Roman"/>
          <w:sz w:val="44"/>
          <w:szCs w:val="44"/>
          <w:lang w:eastAsia="zh-CN"/>
        </w:rPr>
        <w:t>采后</w:t>
      </w:r>
      <w:r>
        <w:rPr>
          <w:rFonts w:hint="eastAsia" w:ascii="Times New Roman" w:hAnsi="Times New Roman" w:eastAsia="黑体" w:cs="Times New Roman"/>
          <w:sz w:val="44"/>
          <w:szCs w:val="44"/>
        </w:rPr>
        <w:t>商品化处理技术规</w:t>
      </w:r>
      <w:r>
        <w:rPr>
          <w:rFonts w:hint="eastAsia" w:ascii="Times New Roman" w:hAnsi="Times New Roman" w:eastAsia="黑体" w:cs="Times New Roman"/>
          <w:sz w:val="44"/>
          <w:szCs w:val="44"/>
          <w:lang w:eastAsia="zh-CN"/>
        </w:rPr>
        <w:t>范</w:t>
      </w:r>
      <w:r>
        <w:rPr>
          <w:rFonts w:hint="eastAsia" w:ascii="Times New Roman" w:hAnsi="Times New Roman" w:eastAsia="黑体" w:cs="Times New Roman"/>
          <w:sz w:val="44"/>
          <w:szCs w:val="44"/>
        </w:rPr>
        <w:t>》</w:t>
      </w:r>
    </w:p>
    <w:p w14:paraId="3B609E49">
      <w:pPr>
        <w:jc w:val="center"/>
        <w:rPr>
          <w:rFonts w:ascii="Times New Roman" w:hAnsi="Times New Roman" w:eastAsia="黑体" w:cs="Times New Roman"/>
          <w:sz w:val="44"/>
          <w:szCs w:val="44"/>
        </w:rPr>
      </w:pPr>
      <w:r>
        <w:rPr>
          <w:rFonts w:hint="eastAsia" w:ascii="Times New Roman" w:hAnsi="Times New Roman" w:eastAsia="黑体" w:cs="Times New Roman"/>
          <w:sz w:val="44"/>
          <w:szCs w:val="44"/>
          <w:lang w:eastAsia="zh-CN"/>
        </w:rPr>
        <w:t>团体标准</w:t>
      </w:r>
      <w:r>
        <w:rPr>
          <w:rFonts w:hint="eastAsia" w:ascii="Times New Roman" w:hAnsi="Times New Roman" w:eastAsia="黑体" w:cs="Times New Roman"/>
          <w:sz w:val="44"/>
          <w:szCs w:val="44"/>
        </w:rPr>
        <w:t>编制说明</w:t>
      </w:r>
    </w:p>
    <w:p w14:paraId="10F65838">
      <w:pPr>
        <w:widowControl/>
        <w:numPr>
          <w:ilvl w:val="0"/>
          <w:numId w:val="1"/>
        </w:numPr>
        <w:spacing w:line="360" w:lineRule="auto"/>
        <w:outlineLvl w:val="1"/>
        <w:rPr>
          <w:rFonts w:ascii="Times New Roman" w:hAnsi="Times New Roman" w:eastAsia="方正小标宋简体" w:cs="Times New Roman"/>
          <w:sz w:val="36"/>
          <w:szCs w:val="36"/>
        </w:rPr>
      </w:pPr>
    </w:p>
    <w:p w14:paraId="45A5B0EA">
      <w:pPr>
        <w:widowControl/>
        <w:numPr>
          <w:ilvl w:val="0"/>
          <w:numId w:val="1"/>
        </w:numPr>
        <w:spacing w:line="360" w:lineRule="auto"/>
        <w:outlineLvl w:val="1"/>
        <w:rPr>
          <w:rFonts w:ascii="Times New Roman" w:hAnsi="Times New Roman" w:eastAsia="黑体" w:cs="Times New Roman"/>
          <w:bCs/>
          <w:kern w:val="0"/>
          <w:sz w:val="28"/>
          <w:szCs w:val="28"/>
        </w:rPr>
      </w:pPr>
    </w:p>
    <w:p w14:paraId="19B81475">
      <w:pPr>
        <w:widowControl/>
        <w:numPr>
          <w:ilvl w:val="0"/>
          <w:numId w:val="1"/>
        </w:numPr>
        <w:spacing w:line="360" w:lineRule="auto"/>
        <w:outlineLvl w:val="1"/>
        <w:rPr>
          <w:rFonts w:ascii="Times New Roman" w:hAnsi="Times New Roman" w:eastAsia="黑体" w:cs="Times New Roman"/>
          <w:bCs/>
          <w:kern w:val="0"/>
          <w:sz w:val="28"/>
          <w:szCs w:val="28"/>
        </w:rPr>
      </w:pPr>
    </w:p>
    <w:p w14:paraId="6AC4BA36">
      <w:pPr>
        <w:widowControl/>
        <w:numPr>
          <w:ilvl w:val="0"/>
          <w:numId w:val="1"/>
        </w:numPr>
        <w:spacing w:line="360" w:lineRule="auto"/>
        <w:outlineLvl w:val="1"/>
        <w:rPr>
          <w:rFonts w:ascii="Times New Roman" w:hAnsi="Times New Roman" w:eastAsia="黑体" w:cs="Times New Roman"/>
          <w:bCs/>
          <w:kern w:val="0"/>
          <w:sz w:val="28"/>
          <w:szCs w:val="28"/>
        </w:rPr>
      </w:pPr>
    </w:p>
    <w:p w14:paraId="3701C13A">
      <w:pPr>
        <w:widowControl/>
        <w:numPr>
          <w:ilvl w:val="0"/>
          <w:numId w:val="1"/>
        </w:numPr>
        <w:spacing w:line="360" w:lineRule="auto"/>
        <w:outlineLvl w:val="1"/>
        <w:rPr>
          <w:rFonts w:ascii="Times New Roman" w:hAnsi="Times New Roman" w:eastAsia="黑体" w:cs="Times New Roman"/>
          <w:bCs/>
          <w:kern w:val="0"/>
          <w:sz w:val="28"/>
          <w:szCs w:val="28"/>
        </w:rPr>
      </w:pPr>
    </w:p>
    <w:p w14:paraId="2FDE0489">
      <w:pPr>
        <w:widowControl/>
        <w:numPr>
          <w:ilvl w:val="0"/>
          <w:numId w:val="1"/>
        </w:numPr>
        <w:spacing w:line="360" w:lineRule="auto"/>
        <w:outlineLvl w:val="1"/>
        <w:rPr>
          <w:rFonts w:ascii="Times New Roman" w:hAnsi="Times New Roman" w:eastAsia="黑体" w:cs="Times New Roman"/>
          <w:bCs/>
          <w:kern w:val="0"/>
          <w:sz w:val="28"/>
          <w:szCs w:val="28"/>
        </w:rPr>
      </w:pPr>
    </w:p>
    <w:p w14:paraId="0B218DF9">
      <w:pPr>
        <w:jc w:val="center"/>
        <w:rPr>
          <w:rFonts w:hint="eastAsia" w:ascii="Times New Roman" w:hAnsi="Times New Roman" w:eastAsia="黑体" w:cs="Times New Roman"/>
          <w:b/>
          <w:sz w:val="36"/>
          <w:szCs w:val="36"/>
          <w:u w:val="single"/>
        </w:rPr>
      </w:pPr>
      <w:r>
        <w:rPr>
          <w:rFonts w:hint="eastAsia" w:ascii="Times New Roman" w:hAnsi="Times New Roman" w:eastAsia="黑体" w:cs="Times New Roman"/>
          <w:b/>
          <w:sz w:val="36"/>
          <w:szCs w:val="36"/>
        </w:rPr>
        <w:t>标 准 名 称</w:t>
      </w:r>
      <w:r>
        <w:rPr>
          <w:rFonts w:hint="eastAsia" w:ascii="Times New Roman" w:hAnsi="Times New Roman" w:eastAsia="黑体" w:cs="Times New Roman"/>
          <w:b/>
          <w:sz w:val="36"/>
          <w:szCs w:val="36"/>
          <w:lang w:eastAsia="zh-CN"/>
        </w:rPr>
        <w:t>：</w:t>
      </w:r>
      <w:r>
        <w:rPr>
          <w:rFonts w:hint="eastAsia" w:ascii="Times New Roman" w:hAnsi="Times New Roman" w:eastAsia="黑体" w:cs="Times New Roman"/>
          <w:b/>
          <w:sz w:val="36"/>
          <w:szCs w:val="36"/>
          <w:u w:val="single"/>
          <w:lang w:val="en-US" w:eastAsia="zh-CN"/>
        </w:rPr>
        <w:t xml:space="preserve">      </w:t>
      </w:r>
      <w:r>
        <w:rPr>
          <w:rFonts w:hint="eastAsia" w:ascii="Times New Roman" w:hAnsi="Times New Roman" w:eastAsia="黑体" w:cs="Times New Roman"/>
          <w:b/>
          <w:sz w:val="36"/>
          <w:szCs w:val="36"/>
          <w:u w:val="single"/>
          <w:lang w:eastAsia="zh-CN"/>
        </w:rPr>
        <w:t>甘蓝类蔬菜</w:t>
      </w:r>
      <w:r>
        <w:rPr>
          <w:rFonts w:hint="eastAsia" w:ascii="Times New Roman" w:hAnsi="Times New Roman" w:eastAsia="黑体" w:cs="Times New Roman"/>
          <w:b/>
          <w:sz w:val="36"/>
          <w:szCs w:val="36"/>
          <w:u w:val="single"/>
          <w:lang w:val="en-US" w:eastAsia="zh-CN"/>
        </w:rPr>
        <w:t xml:space="preserve"> </w:t>
      </w:r>
      <w:r>
        <w:rPr>
          <w:rFonts w:hint="eastAsia" w:ascii="Times New Roman" w:hAnsi="Times New Roman" w:eastAsia="黑体" w:cs="Times New Roman"/>
          <w:b/>
          <w:sz w:val="36"/>
          <w:szCs w:val="36"/>
          <w:u w:val="single"/>
          <w:lang w:eastAsia="zh-CN"/>
        </w:rPr>
        <w:t>采后</w:t>
      </w:r>
      <w:r>
        <w:rPr>
          <w:rFonts w:hint="eastAsia" w:ascii="Times New Roman" w:hAnsi="Times New Roman" w:eastAsia="黑体" w:cs="Times New Roman"/>
          <w:b/>
          <w:sz w:val="36"/>
          <w:szCs w:val="36"/>
          <w:u w:val="single"/>
        </w:rPr>
        <w:t>商品化处理</w:t>
      </w:r>
    </w:p>
    <w:p w14:paraId="5B470B7D">
      <w:pPr>
        <w:jc w:val="center"/>
        <w:rPr>
          <w:rFonts w:hint="default" w:ascii="Times New Roman" w:hAnsi="Times New Roman" w:eastAsia="黑体" w:cs="Times New Roman"/>
          <w:b/>
          <w:sz w:val="36"/>
          <w:szCs w:val="36"/>
          <w:u w:val="single"/>
          <w:lang w:val="en-US" w:eastAsia="zh-CN"/>
        </w:rPr>
      </w:pPr>
      <w:r>
        <w:rPr>
          <w:rFonts w:hint="eastAsia" w:ascii="Times New Roman" w:hAnsi="Times New Roman" w:eastAsia="黑体" w:cs="Times New Roman"/>
          <w:b/>
          <w:sz w:val="36"/>
          <w:szCs w:val="36"/>
          <w:u w:val="single"/>
          <w:lang w:val="en-US" w:eastAsia="zh-CN"/>
        </w:rPr>
        <w:t xml:space="preserve">            </w:t>
      </w:r>
      <w:r>
        <w:rPr>
          <w:rFonts w:hint="eastAsia" w:ascii="Times New Roman" w:hAnsi="Times New Roman" w:eastAsia="黑体" w:cs="Times New Roman"/>
          <w:b/>
          <w:sz w:val="36"/>
          <w:szCs w:val="36"/>
          <w:u w:val="single"/>
          <w:lang w:eastAsia="zh-CN"/>
        </w:rPr>
        <w:t>技术规范</w:t>
      </w:r>
      <w:r>
        <w:rPr>
          <w:rFonts w:hint="eastAsia" w:ascii="Times New Roman" w:hAnsi="Times New Roman" w:eastAsia="黑体" w:cs="Times New Roman"/>
          <w:b/>
          <w:sz w:val="36"/>
          <w:szCs w:val="36"/>
          <w:u w:val="single"/>
          <w:lang w:val="en-US" w:eastAsia="zh-CN"/>
        </w:rPr>
        <w:t xml:space="preserve">               </w:t>
      </w:r>
    </w:p>
    <w:p w14:paraId="55C14E90">
      <w:pPr>
        <w:jc w:val="both"/>
        <w:rPr>
          <w:rFonts w:ascii="Times New Roman" w:hAnsi="Times New Roman" w:eastAsia="黑体" w:cs="Times New Roman"/>
          <w:b/>
          <w:sz w:val="36"/>
          <w:szCs w:val="36"/>
        </w:rPr>
      </w:pPr>
      <w:r>
        <w:rPr>
          <w:rFonts w:hint="eastAsia" w:ascii="Times New Roman" w:hAnsi="Times New Roman" w:eastAsia="黑体" w:cs="Times New Roman"/>
          <w:b/>
          <w:sz w:val="36"/>
          <w:szCs w:val="36"/>
        </w:rPr>
        <w:t>项 目 编 号：</w:t>
      </w:r>
      <w:r>
        <w:rPr>
          <w:rFonts w:hint="eastAsia" w:ascii="Times New Roman" w:hAnsi="Times New Roman" w:eastAsia="黑体" w:cs="Times New Roman"/>
          <w:b/>
          <w:sz w:val="36"/>
          <w:szCs w:val="36"/>
          <w:u w:val="single"/>
        </w:rPr>
        <w:t xml:space="preserve">  </w:t>
      </w:r>
      <w:r>
        <w:rPr>
          <w:rFonts w:hint="default" w:ascii="Times New Roman" w:hAnsi="Times New Roman" w:eastAsia="黑体" w:cs="Times New Roman"/>
          <w:b/>
          <w:sz w:val="36"/>
          <w:szCs w:val="36"/>
          <w:u w:val="single"/>
          <w:lang w:val="en-US" w:eastAsia="zh-CN"/>
        </w:rPr>
        <w:t>QHNX7</w:t>
      </w:r>
      <w:r>
        <w:rPr>
          <w:rFonts w:hint="eastAsia" w:ascii="Times New Roman" w:hAnsi="Times New Roman" w:eastAsia="黑体" w:cs="Times New Roman"/>
          <w:b/>
          <w:sz w:val="36"/>
          <w:szCs w:val="36"/>
          <w:u w:val="single"/>
          <w:lang w:val="en-US" w:eastAsia="zh-CN"/>
        </w:rPr>
        <w:t>9</w:t>
      </w:r>
      <w:r>
        <w:rPr>
          <w:rFonts w:hint="default" w:ascii="Times New Roman" w:hAnsi="Times New Roman" w:eastAsia="黑体" w:cs="Times New Roman"/>
          <w:b/>
          <w:sz w:val="36"/>
          <w:szCs w:val="36"/>
          <w:u w:val="single"/>
          <w:lang w:val="en-US" w:eastAsia="zh-CN"/>
        </w:rPr>
        <w:t>-2025</w:t>
      </w:r>
      <w:r>
        <w:rPr>
          <w:rFonts w:hint="eastAsia" w:ascii="Times New Roman" w:hAnsi="Times New Roman" w:eastAsia="黑体" w:cs="Times New Roman"/>
          <w:b/>
          <w:sz w:val="36"/>
          <w:szCs w:val="36"/>
          <w:u w:val="single"/>
          <w:lang w:val="en-US" w:eastAsia="zh-CN"/>
        </w:rPr>
        <w:t xml:space="preserve"> </w:t>
      </w:r>
      <w:r>
        <w:rPr>
          <w:rFonts w:hint="default" w:ascii="Times New Roman" w:hAnsi="Times New Roman" w:eastAsia="黑体" w:cs="Times New Roman"/>
          <w:b/>
          <w:sz w:val="36"/>
          <w:szCs w:val="36"/>
          <w:u w:val="single"/>
          <w:lang w:val="en-US" w:eastAsia="zh-CN"/>
        </w:rPr>
        <w:t>QAS-JH3</w:t>
      </w:r>
      <w:r>
        <w:rPr>
          <w:rFonts w:hint="eastAsia" w:ascii="Times New Roman" w:hAnsi="Times New Roman" w:eastAsia="黑体" w:cs="Times New Roman"/>
          <w:b/>
          <w:sz w:val="36"/>
          <w:szCs w:val="36"/>
          <w:u w:val="single"/>
          <w:lang w:val="en-US" w:eastAsia="zh-CN"/>
        </w:rPr>
        <w:t>8</w:t>
      </w:r>
      <w:r>
        <w:rPr>
          <w:rFonts w:hint="default" w:ascii="Times New Roman" w:hAnsi="Times New Roman" w:eastAsia="黑体" w:cs="Times New Roman"/>
          <w:b/>
          <w:sz w:val="36"/>
          <w:szCs w:val="36"/>
          <w:u w:val="single"/>
          <w:lang w:val="en-US" w:eastAsia="zh-CN"/>
        </w:rPr>
        <w:t>-2025</w:t>
      </w:r>
      <w:r>
        <w:rPr>
          <w:rFonts w:hint="eastAsia" w:ascii="Times New Roman" w:hAnsi="Times New Roman" w:eastAsia="黑体" w:cs="Times New Roman"/>
          <w:b/>
          <w:sz w:val="36"/>
          <w:szCs w:val="36"/>
          <w:u w:val="single"/>
        </w:rPr>
        <w:t xml:space="preserve"> </w:t>
      </w:r>
      <w:r>
        <w:rPr>
          <w:rFonts w:hint="eastAsia" w:ascii="Times New Roman" w:hAnsi="Times New Roman" w:eastAsia="黑体" w:cs="Times New Roman"/>
          <w:b/>
          <w:sz w:val="36"/>
          <w:szCs w:val="36"/>
          <w:u w:val="single"/>
          <w:lang w:val="en-US" w:eastAsia="zh-CN"/>
        </w:rPr>
        <w:t xml:space="preserve">   </w:t>
      </w:r>
    </w:p>
    <w:p w14:paraId="47CA72CA">
      <w:pPr>
        <w:jc w:val="left"/>
        <w:rPr>
          <w:rFonts w:ascii="Times New Roman" w:hAnsi="Times New Roman" w:eastAsia="黑体" w:cs="Times New Roman"/>
          <w:b/>
          <w:sz w:val="36"/>
          <w:szCs w:val="36"/>
        </w:rPr>
      </w:pPr>
      <w:r>
        <w:rPr>
          <w:rFonts w:hint="eastAsia" w:ascii="Times New Roman" w:hAnsi="Times New Roman" w:eastAsia="黑体" w:cs="Times New Roman"/>
          <w:b/>
          <w:sz w:val="36"/>
          <w:szCs w:val="36"/>
        </w:rPr>
        <w:t>制、修订类型：</w:t>
      </w:r>
      <w:r>
        <w:rPr>
          <w:rFonts w:hint="eastAsia" w:ascii="Times New Roman" w:hAnsi="Times New Roman" w:eastAsia="黑体" w:cs="Times New Roman"/>
          <w:b/>
          <w:sz w:val="36"/>
          <w:szCs w:val="36"/>
          <w:u w:val="single"/>
        </w:rPr>
        <w:t xml:space="preserve">             制</w:t>
      </w:r>
      <w:r>
        <w:rPr>
          <w:rFonts w:hint="eastAsia" w:ascii="Times New Roman" w:hAnsi="Times New Roman" w:eastAsia="黑体" w:cs="Times New Roman"/>
          <w:b/>
          <w:sz w:val="36"/>
          <w:szCs w:val="36"/>
          <w:u w:val="single"/>
          <w:lang w:eastAsia="zh-CN"/>
        </w:rPr>
        <w:t>定</w:t>
      </w:r>
      <w:r>
        <w:rPr>
          <w:rFonts w:hint="eastAsia" w:ascii="Times New Roman" w:hAnsi="Times New Roman" w:eastAsia="黑体" w:cs="Times New Roman"/>
          <w:b/>
          <w:sz w:val="36"/>
          <w:szCs w:val="36"/>
          <w:u w:val="single"/>
        </w:rPr>
        <w:t xml:space="preserve">          </w:t>
      </w:r>
      <w:r>
        <w:rPr>
          <w:rFonts w:hint="eastAsia" w:ascii="Times New Roman" w:hAnsi="Times New Roman" w:eastAsia="黑体" w:cs="Times New Roman"/>
          <w:b/>
          <w:sz w:val="36"/>
          <w:szCs w:val="36"/>
          <w:u w:val="single"/>
          <w:lang w:val="en-US" w:eastAsia="zh-CN"/>
        </w:rPr>
        <w:t xml:space="preserve">  </w:t>
      </w:r>
      <w:r>
        <w:rPr>
          <w:rFonts w:hint="eastAsia" w:ascii="Times New Roman" w:hAnsi="Times New Roman" w:eastAsia="黑体" w:cs="Times New Roman"/>
          <w:b/>
          <w:sz w:val="36"/>
          <w:szCs w:val="36"/>
          <w:u w:val="single"/>
        </w:rPr>
        <w:t xml:space="preserve">   </w:t>
      </w:r>
    </w:p>
    <w:p w14:paraId="612C929A">
      <w:pPr>
        <w:jc w:val="both"/>
        <w:rPr>
          <w:rFonts w:hint="default" w:ascii="Times New Roman" w:hAnsi="Times New Roman" w:eastAsia="黑体" w:cs="Times New Roman"/>
          <w:b/>
          <w:sz w:val="36"/>
          <w:szCs w:val="36"/>
          <w:u w:val="single"/>
          <w:lang w:val="en-US" w:eastAsia="zh-CN"/>
        </w:rPr>
      </w:pPr>
      <w:r>
        <w:rPr>
          <w:rFonts w:hint="eastAsia" w:ascii="Times New Roman" w:hAnsi="Times New Roman" w:eastAsia="黑体" w:cs="Times New Roman"/>
          <w:b/>
          <w:sz w:val="36"/>
          <w:szCs w:val="36"/>
        </w:rPr>
        <w:t>主要起草单位：</w:t>
      </w:r>
      <w:r>
        <w:rPr>
          <w:rFonts w:hint="eastAsia" w:ascii="Times New Roman" w:hAnsi="Times New Roman" w:eastAsia="黑体" w:cs="Times New Roman"/>
          <w:b/>
          <w:sz w:val="36"/>
          <w:szCs w:val="36"/>
          <w:u w:val="single"/>
        </w:rPr>
        <w:t xml:space="preserve">     </w:t>
      </w:r>
      <w:r>
        <w:rPr>
          <w:rFonts w:hint="eastAsia" w:ascii="Times New Roman" w:hAnsi="Times New Roman" w:eastAsia="黑体" w:cs="Times New Roman"/>
          <w:b/>
          <w:sz w:val="36"/>
          <w:szCs w:val="36"/>
          <w:u w:val="single"/>
          <w:lang w:eastAsia="zh-CN"/>
        </w:rPr>
        <w:t>西宁市蔬菜技术服务中心</w:t>
      </w:r>
      <w:r>
        <w:rPr>
          <w:rFonts w:hint="eastAsia" w:ascii="Times New Roman" w:hAnsi="Times New Roman" w:eastAsia="黑体" w:cs="Times New Roman"/>
          <w:b/>
          <w:sz w:val="36"/>
          <w:szCs w:val="36"/>
          <w:u w:val="single"/>
          <w:lang w:val="en-US" w:eastAsia="zh-CN"/>
        </w:rPr>
        <w:t xml:space="preserve">     </w:t>
      </w:r>
    </w:p>
    <w:p w14:paraId="7C9792D0">
      <w:pPr>
        <w:ind w:left="2530" w:hanging="2530" w:hangingChars="700"/>
        <w:jc w:val="both"/>
        <w:rPr>
          <w:rFonts w:hint="default" w:ascii="Times New Roman" w:hAnsi="Times New Roman" w:eastAsia="黑体" w:cs="Times New Roman"/>
          <w:b/>
          <w:sz w:val="36"/>
          <w:szCs w:val="36"/>
          <w:u w:val="single"/>
          <w:lang w:val="en-US" w:eastAsia="zh-CN"/>
        </w:rPr>
      </w:pPr>
      <w:r>
        <w:rPr>
          <w:rFonts w:hint="eastAsia" w:ascii="Times New Roman" w:hAnsi="Times New Roman" w:eastAsia="黑体" w:cs="Times New Roman"/>
          <w:b/>
          <w:sz w:val="36"/>
          <w:szCs w:val="36"/>
        </w:rPr>
        <w:t>协作单位：</w:t>
      </w:r>
      <w:r>
        <w:rPr>
          <w:rFonts w:hint="eastAsia" w:ascii="Times New Roman" w:hAnsi="Times New Roman" w:eastAsia="黑体" w:cs="Times New Roman"/>
          <w:b/>
          <w:sz w:val="36"/>
          <w:szCs w:val="36"/>
          <w:lang w:val="en-US" w:eastAsia="zh-CN"/>
        </w:rPr>
        <w:t xml:space="preserve">   </w:t>
      </w:r>
      <w:r>
        <w:rPr>
          <w:rFonts w:hint="eastAsia" w:ascii="Times New Roman" w:hAnsi="Times New Roman" w:eastAsia="黑体" w:cs="Times New Roman"/>
          <w:b/>
          <w:sz w:val="36"/>
          <w:szCs w:val="36"/>
          <w:u w:val="single"/>
        </w:rPr>
        <w:t xml:space="preserve"> </w:t>
      </w:r>
      <w:r>
        <w:rPr>
          <w:rFonts w:hint="eastAsia" w:ascii="Times New Roman" w:hAnsi="Times New Roman" w:eastAsia="黑体" w:cs="Times New Roman"/>
          <w:b/>
          <w:sz w:val="36"/>
          <w:szCs w:val="36"/>
          <w:u w:val="single"/>
          <w:lang w:eastAsia="zh-CN"/>
        </w:rPr>
        <w:t>西宁植物园、</w:t>
      </w:r>
      <w:r>
        <w:rPr>
          <w:rFonts w:hint="eastAsia" w:ascii="Times New Roman" w:hAnsi="Times New Roman" w:eastAsia="黑体" w:cs="Times New Roman"/>
          <w:b/>
          <w:sz w:val="36"/>
          <w:szCs w:val="36"/>
          <w:u w:val="single"/>
          <w:lang w:val="en-US" w:eastAsia="zh-CN"/>
        </w:rPr>
        <w:t xml:space="preserve">海东市农业农村综合服务中心、湟中区蔬菜服务中心、青海 </w:t>
      </w:r>
      <w:r>
        <w:rPr>
          <w:rFonts w:hint="eastAsia" w:ascii="Times New Roman" w:hAnsi="Times New Roman" w:eastAsia="黑体" w:cs="Times New Roman"/>
          <w:b/>
          <w:sz w:val="36"/>
          <w:szCs w:val="36"/>
          <w:u w:val="single"/>
          <w:lang w:val="en-US" w:eastAsia="zh-CN"/>
        </w:rPr>
        <w:tab/>
      </w:r>
      <w:r>
        <w:rPr>
          <w:rFonts w:hint="eastAsia" w:ascii="Times New Roman" w:hAnsi="Times New Roman" w:eastAsia="黑体" w:cs="Times New Roman"/>
          <w:b/>
          <w:sz w:val="36"/>
          <w:szCs w:val="36"/>
          <w:u w:val="single"/>
          <w:lang w:val="en-US" w:eastAsia="zh-CN"/>
        </w:rPr>
        <w:t xml:space="preserve">   丰辉农牧业开发有限公司     </w:t>
      </w:r>
    </w:p>
    <w:p w14:paraId="31DA2EC8">
      <w:pPr>
        <w:jc w:val="left"/>
        <w:rPr>
          <w:rFonts w:ascii="Times New Roman" w:hAnsi="Times New Roman" w:eastAsia="黑体" w:cs="Times New Roman"/>
          <w:b/>
          <w:sz w:val="36"/>
          <w:szCs w:val="36"/>
          <w:u w:val="single"/>
        </w:rPr>
      </w:pPr>
      <w:r>
        <w:rPr>
          <w:rFonts w:hint="eastAsia" w:ascii="Times New Roman" w:hAnsi="Times New Roman" w:eastAsia="黑体" w:cs="Times New Roman"/>
          <w:b/>
          <w:sz w:val="36"/>
          <w:szCs w:val="36"/>
        </w:rPr>
        <w:t>归 口 单 位：</w:t>
      </w:r>
      <w:r>
        <w:rPr>
          <w:rFonts w:hint="eastAsia" w:ascii="Times New Roman" w:hAnsi="Times New Roman" w:eastAsia="黑体" w:cs="Times New Roman"/>
          <w:b/>
          <w:sz w:val="36"/>
          <w:szCs w:val="36"/>
          <w:u w:val="single"/>
        </w:rPr>
        <w:t xml:space="preserve">         青海省农学会       </w:t>
      </w:r>
      <w:r>
        <w:rPr>
          <w:rFonts w:hint="eastAsia" w:ascii="Times New Roman" w:hAnsi="Times New Roman" w:eastAsia="黑体" w:cs="Times New Roman"/>
          <w:b/>
          <w:sz w:val="36"/>
          <w:szCs w:val="36"/>
          <w:u w:val="single"/>
          <w:lang w:val="en-US" w:eastAsia="zh-CN"/>
        </w:rPr>
        <w:t xml:space="preserve"> </w:t>
      </w:r>
      <w:r>
        <w:rPr>
          <w:rFonts w:hint="eastAsia" w:ascii="Times New Roman" w:hAnsi="Times New Roman" w:eastAsia="黑体" w:cs="Times New Roman"/>
          <w:b/>
          <w:sz w:val="36"/>
          <w:szCs w:val="36"/>
          <w:u w:val="single"/>
        </w:rPr>
        <w:t xml:space="preserve">    </w:t>
      </w:r>
    </w:p>
    <w:p w14:paraId="4ED53837">
      <w:pPr>
        <w:jc w:val="left"/>
        <w:rPr>
          <w:rFonts w:ascii="Times New Roman" w:hAnsi="Times New Roman" w:eastAsia="黑体" w:cs="Times New Roman"/>
          <w:bCs/>
          <w:sz w:val="32"/>
          <w:szCs w:val="32"/>
          <w:u w:val="single"/>
        </w:rPr>
      </w:pPr>
      <w:r>
        <w:rPr>
          <w:rFonts w:hint="eastAsia" w:ascii="Times New Roman" w:hAnsi="Times New Roman" w:eastAsia="黑体" w:cs="Times New Roman"/>
          <w:b/>
          <w:sz w:val="36"/>
          <w:szCs w:val="36"/>
        </w:rPr>
        <w:t>起草时间：</w:t>
      </w:r>
      <w:r>
        <w:rPr>
          <w:rFonts w:hint="eastAsia" w:ascii="Times New Roman" w:hAnsi="Times New Roman" w:eastAsia="黑体" w:cs="Times New Roman"/>
          <w:b/>
          <w:sz w:val="36"/>
          <w:szCs w:val="36"/>
          <w:u w:val="single"/>
        </w:rPr>
        <w:t xml:space="preserve">     2025年08月---2026年</w:t>
      </w:r>
      <w:r>
        <w:rPr>
          <w:rFonts w:hint="eastAsia" w:ascii="Times New Roman" w:hAnsi="Times New Roman" w:eastAsia="黑体" w:cs="Times New Roman"/>
          <w:b/>
          <w:sz w:val="36"/>
          <w:szCs w:val="36"/>
          <w:u w:val="single"/>
          <w:lang w:val="en-US" w:eastAsia="zh-CN"/>
        </w:rPr>
        <w:t>08</w:t>
      </w:r>
      <w:r>
        <w:rPr>
          <w:rFonts w:hint="eastAsia" w:ascii="Times New Roman" w:hAnsi="Times New Roman" w:eastAsia="黑体" w:cs="Times New Roman"/>
          <w:b/>
          <w:sz w:val="36"/>
          <w:szCs w:val="36"/>
          <w:u w:val="single"/>
        </w:rPr>
        <w:t xml:space="preserve">月 </w:t>
      </w:r>
      <w:r>
        <w:rPr>
          <w:rFonts w:hint="eastAsia" w:ascii="Times New Roman" w:hAnsi="Times New Roman" w:eastAsia="黑体" w:cs="Times New Roman"/>
          <w:b/>
          <w:sz w:val="36"/>
          <w:szCs w:val="36"/>
          <w:u w:val="single"/>
          <w:lang w:val="en-US" w:eastAsia="zh-CN"/>
        </w:rPr>
        <w:t xml:space="preserve">  </w:t>
      </w:r>
      <w:r>
        <w:rPr>
          <w:rFonts w:hint="eastAsia" w:ascii="Times New Roman" w:hAnsi="Times New Roman" w:eastAsia="黑体" w:cs="Times New Roman"/>
          <w:b/>
          <w:sz w:val="36"/>
          <w:szCs w:val="36"/>
          <w:u w:val="single"/>
        </w:rPr>
        <w:t xml:space="preserve">   </w:t>
      </w:r>
    </w:p>
    <w:p w14:paraId="3AD045C1">
      <w:pPr>
        <w:widowControl/>
        <w:autoSpaceDE w:val="0"/>
        <w:autoSpaceDN w:val="0"/>
        <w:jc w:val="left"/>
        <w:rPr>
          <w:rFonts w:ascii="Times New Roman" w:hAnsi="Times New Roman" w:eastAsia="方正小标宋简体" w:cs="Times New Roman"/>
          <w:kern w:val="0"/>
          <w:sz w:val="36"/>
          <w:szCs w:val="2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7786D0D">
      <w:pPr>
        <w:widowControl/>
        <w:autoSpaceDE w:val="0"/>
        <w:autoSpaceDN w:val="0"/>
        <w:jc w:val="center"/>
        <w:rPr>
          <w:rFonts w:ascii="Times New Roman" w:hAnsi="Times New Roman" w:eastAsia="方正小标宋简体" w:cs="Times New Roman"/>
          <w:kern w:val="0"/>
          <w:sz w:val="36"/>
          <w:szCs w:val="20"/>
        </w:rPr>
      </w:pPr>
      <w:r>
        <w:rPr>
          <w:rFonts w:hint="eastAsia" w:ascii="Times New Roman" w:hAnsi="Times New Roman" w:eastAsia="方正小标宋简体" w:cs="Times New Roman"/>
          <w:kern w:val="0"/>
          <w:sz w:val="36"/>
          <w:szCs w:val="20"/>
        </w:rPr>
        <w:t>《</w:t>
      </w:r>
      <w:r>
        <w:rPr>
          <w:rFonts w:hint="eastAsia" w:ascii="Times New Roman" w:hAnsi="Times New Roman" w:eastAsia="方正小标宋简体" w:cs="Times New Roman"/>
          <w:kern w:val="0"/>
          <w:sz w:val="36"/>
          <w:szCs w:val="20"/>
          <w:lang w:eastAsia="zh-CN"/>
        </w:rPr>
        <w:t>甘蓝类蔬菜</w:t>
      </w:r>
      <w:r>
        <w:rPr>
          <w:rFonts w:hint="eastAsia" w:ascii="Times New Roman" w:hAnsi="Times New Roman" w:eastAsia="方正小标宋简体" w:cs="Times New Roman"/>
          <w:kern w:val="0"/>
          <w:sz w:val="36"/>
          <w:szCs w:val="20"/>
          <w:lang w:val="en-US" w:eastAsia="zh-CN"/>
        </w:rPr>
        <w:t xml:space="preserve"> </w:t>
      </w:r>
      <w:r>
        <w:rPr>
          <w:rFonts w:hint="eastAsia" w:ascii="Times New Roman" w:hAnsi="Times New Roman" w:eastAsia="方正小标宋简体" w:cs="Times New Roman"/>
          <w:kern w:val="0"/>
          <w:sz w:val="36"/>
          <w:szCs w:val="20"/>
          <w:lang w:eastAsia="zh-CN"/>
        </w:rPr>
        <w:t>采后</w:t>
      </w:r>
      <w:r>
        <w:rPr>
          <w:rFonts w:hint="eastAsia" w:ascii="Times New Roman" w:hAnsi="Times New Roman" w:eastAsia="方正小标宋简体" w:cs="Times New Roman"/>
          <w:kern w:val="0"/>
          <w:sz w:val="36"/>
          <w:szCs w:val="20"/>
        </w:rPr>
        <w:t>商品化处理</w:t>
      </w:r>
      <w:r>
        <w:rPr>
          <w:rFonts w:hint="eastAsia" w:ascii="Times New Roman" w:hAnsi="Times New Roman" w:eastAsia="方正小标宋简体" w:cs="Times New Roman"/>
          <w:kern w:val="0"/>
          <w:sz w:val="36"/>
          <w:szCs w:val="20"/>
          <w:lang w:eastAsia="zh-CN"/>
        </w:rPr>
        <w:t>技术规范</w:t>
      </w:r>
      <w:r>
        <w:rPr>
          <w:rFonts w:hint="eastAsia" w:ascii="Times New Roman" w:hAnsi="Times New Roman" w:eastAsia="方正小标宋简体" w:cs="Times New Roman"/>
          <w:kern w:val="0"/>
          <w:sz w:val="36"/>
          <w:szCs w:val="20"/>
        </w:rPr>
        <w:t>》</w:t>
      </w:r>
    </w:p>
    <w:p w14:paraId="1AC32275">
      <w:pPr>
        <w:widowControl/>
        <w:autoSpaceDE w:val="0"/>
        <w:autoSpaceDN w:val="0"/>
        <w:jc w:val="center"/>
        <w:rPr>
          <w:rFonts w:ascii="Times New Roman" w:hAnsi="Times New Roman" w:eastAsia="方正小标宋简体" w:cs="Times New Roman"/>
          <w:kern w:val="0"/>
          <w:sz w:val="36"/>
          <w:szCs w:val="20"/>
        </w:rPr>
      </w:pPr>
      <w:r>
        <w:rPr>
          <w:rFonts w:hint="eastAsia" w:ascii="Times New Roman" w:hAnsi="Times New Roman" w:eastAsia="方正小标宋简体" w:cs="Times New Roman"/>
          <w:kern w:val="0"/>
          <w:sz w:val="36"/>
          <w:szCs w:val="20"/>
        </w:rPr>
        <w:t>团体标准编制说明</w:t>
      </w:r>
    </w:p>
    <w:p w14:paraId="54175648">
      <w:pPr>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一、工作简况</w:t>
      </w:r>
    </w:p>
    <w:p w14:paraId="12494721">
      <w:pPr>
        <w:spacing w:line="360" w:lineRule="auto"/>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（一）任务来源</w:t>
      </w:r>
    </w:p>
    <w:p w14:paraId="33877FD3">
      <w:pPr>
        <w:ind w:firstLine="640"/>
        <w:rPr>
          <w:rFonts w:ascii="Times New Roman" w:hAnsi="Times New Roman" w:eastAsia="仿宋_GB2312"/>
          <w:kern w:val="1"/>
          <w:sz w:val="32"/>
          <w:szCs w:val="32"/>
        </w:rPr>
      </w:pPr>
      <w:r>
        <w:rPr>
          <w:rFonts w:hint="eastAsia" w:ascii="Times New Roman" w:hAnsi="Times New Roman" w:eastAsia="仿宋_GB2312" w:cs="Times New Roman"/>
          <w:kern w:val="0"/>
          <w:sz w:val="32"/>
          <w:szCs w:val="32"/>
        </w:rPr>
        <w:t>2024年7月30日，由</w:t>
      </w:r>
      <w:r>
        <w:rPr>
          <w:rFonts w:hint="eastAsia" w:ascii="Times New Roman" w:hAnsi="Times New Roman" w:eastAsia="仿宋_GB2312" w:cs="Times New Roman"/>
          <w:kern w:val="0"/>
          <w:sz w:val="32"/>
          <w:szCs w:val="32"/>
          <w:lang w:eastAsia="zh-CN"/>
        </w:rPr>
        <w:t>西宁市蔬菜技术服务中心牵头提出</w:t>
      </w:r>
      <w:r>
        <w:rPr>
          <w:rFonts w:hint="eastAsia" w:ascii="Times New Roman" w:hAnsi="Times New Roman" w:eastAsia="仿宋_GB2312" w:cs="Times New Roman"/>
          <w:kern w:val="0"/>
          <w:sz w:val="32"/>
          <w:szCs w:val="32"/>
        </w:rPr>
        <w:t>青海省团体标准</w:t>
      </w:r>
      <w:r>
        <w:rPr>
          <w:rFonts w:hint="eastAsia" w:ascii="Times New Roman" w:hAnsi="Times New Roman" w:eastAsia="仿宋_GB2312" w:cs="Times New Roman"/>
          <w:kern w:val="0"/>
          <w:sz w:val="32"/>
          <w:szCs w:val="32"/>
          <w:lang w:eastAsia="zh-CN"/>
        </w:rPr>
        <w:t>制定</w:t>
      </w:r>
      <w:r>
        <w:rPr>
          <w:rFonts w:hint="eastAsia" w:ascii="Times New Roman" w:hAnsi="Times New Roman" w:eastAsia="仿宋_GB2312" w:cs="Times New Roman"/>
          <w:kern w:val="0"/>
          <w:sz w:val="32"/>
          <w:szCs w:val="32"/>
        </w:rPr>
        <w:t>申请，</w:t>
      </w:r>
      <w:r>
        <w:rPr>
          <w:rFonts w:hint="eastAsia" w:ascii="Times New Roman" w:hAnsi="Times New Roman" w:eastAsia="仿宋_GB2312"/>
          <w:sz w:val="32"/>
          <w:szCs w:val="32"/>
        </w:rPr>
        <w:t>青海省农学会批准立项</w:t>
      </w:r>
      <w:r>
        <w:rPr>
          <w:rFonts w:ascii="Times New Roman" w:hAnsi="Times New Roman" w:eastAsia="仿宋_GB2312"/>
          <w:kern w:val="1"/>
          <w:sz w:val="32"/>
          <w:szCs w:val="32"/>
        </w:rPr>
        <w:t>。根据青海省</w:t>
      </w:r>
      <w:r>
        <w:rPr>
          <w:rFonts w:hint="eastAsia" w:ascii="Times New Roman" w:hAnsi="Times New Roman" w:eastAsia="仿宋_GB2312"/>
          <w:kern w:val="1"/>
          <w:sz w:val="32"/>
          <w:szCs w:val="32"/>
        </w:rPr>
        <w:t>农学会和青海省标准化协会联合</w:t>
      </w:r>
      <w:r>
        <w:rPr>
          <w:rFonts w:ascii="Times New Roman" w:hAnsi="Times New Roman" w:eastAsia="仿宋_GB2312"/>
          <w:kern w:val="1"/>
          <w:sz w:val="32"/>
          <w:szCs w:val="32"/>
        </w:rPr>
        <w:t>下达的《关于</w:t>
      </w:r>
      <w:r>
        <w:rPr>
          <w:rFonts w:hint="eastAsia" w:ascii="Times New Roman" w:hAnsi="Times New Roman" w:eastAsia="仿宋_GB2312"/>
          <w:kern w:val="1"/>
          <w:sz w:val="32"/>
          <w:szCs w:val="32"/>
        </w:rPr>
        <w:t>下达2025年团体标准</w:t>
      </w:r>
      <w:r>
        <w:rPr>
          <w:rFonts w:ascii="Times New Roman" w:hAnsi="Times New Roman" w:eastAsia="仿宋_GB2312"/>
          <w:kern w:val="1"/>
          <w:sz w:val="32"/>
          <w:szCs w:val="32"/>
        </w:rPr>
        <w:t>项目</w:t>
      </w:r>
      <w:r>
        <w:rPr>
          <w:rFonts w:hint="eastAsia" w:ascii="Times New Roman" w:hAnsi="Times New Roman" w:eastAsia="仿宋_GB2312"/>
          <w:kern w:val="1"/>
          <w:sz w:val="32"/>
          <w:szCs w:val="32"/>
        </w:rPr>
        <w:t>计划</w:t>
      </w:r>
      <w:r>
        <w:rPr>
          <w:rFonts w:ascii="Times New Roman" w:hAnsi="Times New Roman" w:eastAsia="仿宋_GB2312"/>
          <w:kern w:val="1"/>
          <w:sz w:val="32"/>
          <w:szCs w:val="32"/>
        </w:rPr>
        <w:t>的通知》（青</w:t>
      </w:r>
      <w:r>
        <w:rPr>
          <w:rFonts w:hint="eastAsia" w:ascii="Times New Roman" w:hAnsi="Times New Roman" w:eastAsia="仿宋_GB2312"/>
          <w:kern w:val="1"/>
          <w:sz w:val="32"/>
          <w:szCs w:val="32"/>
        </w:rPr>
        <w:t>农字</w:t>
      </w:r>
      <w:r>
        <w:rPr>
          <w:rFonts w:ascii="Times New Roman" w:hAnsi="Times New Roman" w:eastAsia="仿宋_GB2312"/>
          <w:kern w:val="1"/>
          <w:sz w:val="32"/>
          <w:szCs w:val="32"/>
        </w:rPr>
        <w:t>[20</w:t>
      </w:r>
      <w:r>
        <w:rPr>
          <w:rFonts w:hint="eastAsia" w:ascii="Times New Roman" w:hAnsi="Times New Roman" w:eastAsia="仿宋_GB2312"/>
          <w:kern w:val="1"/>
          <w:sz w:val="32"/>
          <w:szCs w:val="32"/>
        </w:rPr>
        <w:t>25</w:t>
      </w:r>
      <w:r>
        <w:rPr>
          <w:rFonts w:ascii="Times New Roman" w:hAnsi="Times New Roman" w:eastAsia="仿宋_GB2312"/>
          <w:kern w:val="1"/>
          <w:sz w:val="32"/>
          <w:szCs w:val="32"/>
        </w:rPr>
        <w:t>]</w:t>
      </w:r>
      <w:r>
        <w:rPr>
          <w:rFonts w:hint="eastAsia" w:ascii="Times New Roman" w:hAnsi="Times New Roman" w:eastAsia="仿宋_GB2312"/>
          <w:kern w:val="1"/>
          <w:sz w:val="32"/>
          <w:szCs w:val="32"/>
        </w:rPr>
        <w:t xml:space="preserve"> 16</w:t>
      </w:r>
      <w:r>
        <w:rPr>
          <w:rFonts w:ascii="Times New Roman" w:hAnsi="Times New Roman" w:eastAsia="仿宋_GB2312"/>
          <w:kern w:val="1"/>
          <w:sz w:val="32"/>
          <w:szCs w:val="32"/>
        </w:rPr>
        <w:t>号）</w:t>
      </w:r>
      <w:r>
        <w:rPr>
          <w:rFonts w:hint="eastAsia" w:ascii="Times New Roman" w:hAnsi="Times New Roman" w:eastAsia="仿宋_GB2312"/>
          <w:kern w:val="1"/>
          <w:sz w:val="32"/>
          <w:szCs w:val="32"/>
        </w:rPr>
        <w:t>和</w:t>
      </w:r>
      <w:r>
        <w:rPr>
          <w:rFonts w:ascii="Times New Roman" w:hAnsi="Times New Roman" w:eastAsia="仿宋_GB2312"/>
          <w:kern w:val="1"/>
          <w:sz w:val="32"/>
          <w:szCs w:val="32"/>
        </w:rPr>
        <w:t>（</w:t>
      </w:r>
      <w:r>
        <w:rPr>
          <w:rFonts w:hint="eastAsia" w:ascii="Times New Roman" w:hAnsi="Times New Roman" w:eastAsia="仿宋_GB2312"/>
          <w:kern w:val="1"/>
          <w:sz w:val="32"/>
          <w:szCs w:val="32"/>
        </w:rPr>
        <w:t>青标协字</w:t>
      </w:r>
      <w:r>
        <w:rPr>
          <w:rFonts w:ascii="Times New Roman" w:hAnsi="Times New Roman" w:eastAsia="仿宋_GB2312"/>
          <w:kern w:val="1"/>
          <w:sz w:val="32"/>
          <w:szCs w:val="32"/>
        </w:rPr>
        <w:t>[20</w:t>
      </w:r>
      <w:r>
        <w:rPr>
          <w:rFonts w:hint="eastAsia" w:ascii="Times New Roman" w:hAnsi="Times New Roman" w:eastAsia="仿宋_GB2312"/>
          <w:kern w:val="1"/>
          <w:sz w:val="32"/>
          <w:szCs w:val="32"/>
        </w:rPr>
        <w:t>25</w:t>
      </w:r>
      <w:r>
        <w:rPr>
          <w:rFonts w:ascii="Times New Roman" w:hAnsi="Times New Roman" w:eastAsia="仿宋_GB2312"/>
          <w:kern w:val="1"/>
          <w:sz w:val="32"/>
          <w:szCs w:val="32"/>
        </w:rPr>
        <w:t>]</w:t>
      </w:r>
      <w:r>
        <w:rPr>
          <w:rFonts w:hint="eastAsia" w:ascii="Times New Roman" w:hAnsi="Times New Roman" w:eastAsia="仿宋_GB2312"/>
          <w:kern w:val="1"/>
          <w:sz w:val="32"/>
          <w:szCs w:val="32"/>
        </w:rPr>
        <w:t xml:space="preserve"> 152</w:t>
      </w:r>
      <w:r>
        <w:rPr>
          <w:rFonts w:ascii="Times New Roman" w:hAnsi="Times New Roman" w:eastAsia="仿宋_GB2312"/>
          <w:kern w:val="1"/>
          <w:sz w:val="32"/>
          <w:szCs w:val="32"/>
        </w:rPr>
        <w:t>号），批准《</w:t>
      </w:r>
      <w:r>
        <w:rPr>
          <w:rFonts w:hint="eastAsia" w:ascii="Times New Roman" w:hAnsi="Times New Roman" w:eastAsia="仿宋_GB2312"/>
          <w:kern w:val="1"/>
          <w:sz w:val="32"/>
          <w:szCs w:val="32"/>
          <w:lang w:eastAsia="zh-CN"/>
        </w:rPr>
        <w:t>甘蓝类蔬菜</w:t>
      </w:r>
      <w:r>
        <w:rPr>
          <w:rFonts w:hint="eastAsia" w:ascii="Times New Roman" w:hAnsi="Times New Roman" w:eastAsia="仿宋_GB2312"/>
          <w:kern w:val="1"/>
          <w:sz w:val="32"/>
          <w:szCs w:val="32"/>
          <w:lang w:val="en-US" w:eastAsia="zh-CN"/>
        </w:rPr>
        <w:t xml:space="preserve"> </w:t>
      </w:r>
      <w:r>
        <w:rPr>
          <w:rFonts w:hint="eastAsia" w:ascii="Times New Roman" w:hAnsi="Times New Roman" w:eastAsia="仿宋_GB2312"/>
          <w:kern w:val="1"/>
          <w:sz w:val="32"/>
          <w:szCs w:val="32"/>
          <w:lang w:eastAsia="zh-CN"/>
        </w:rPr>
        <w:t>采后</w:t>
      </w:r>
      <w:r>
        <w:rPr>
          <w:rFonts w:hint="eastAsia" w:ascii="Times New Roman" w:hAnsi="Times New Roman" w:eastAsia="仿宋_GB2312"/>
          <w:kern w:val="1"/>
          <w:sz w:val="32"/>
          <w:szCs w:val="32"/>
        </w:rPr>
        <w:t>商品化处理技术规</w:t>
      </w:r>
      <w:r>
        <w:rPr>
          <w:rFonts w:hint="eastAsia" w:ascii="Times New Roman" w:hAnsi="Times New Roman" w:eastAsia="仿宋_GB2312"/>
          <w:kern w:val="1"/>
          <w:sz w:val="32"/>
          <w:szCs w:val="32"/>
          <w:lang w:eastAsia="zh-CN"/>
        </w:rPr>
        <w:t>范</w:t>
      </w:r>
      <w:r>
        <w:rPr>
          <w:rFonts w:ascii="Times New Roman" w:hAnsi="Times New Roman" w:eastAsia="仿宋_GB2312"/>
          <w:kern w:val="1"/>
          <w:sz w:val="32"/>
          <w:szCs w:val="32"/>
        </w:rPr>
        <w:t>》（</w:t>
      </w:r>
      <w:r>
        <w:rPr>
          <w:rFonts w:hint="default" w:ascii="Times New Roman" w:hAnsi="Times New Roman" w:eastAsia="仿宋_GB2312"/>
          <w:kern w:val="1"/>
          <w:sz w:val="32"/>
          <w:szCs w:val="32"/>
          <w:lang w:val="en-US" w:eastAsia="zh-CN"/>
        </w:rPr>
        <w:t>QHNX7</w:t>
      </w:r>
      <w:r>
        <w:rPr>
          <w:rFonts w:hint="eastAsia" w:ascii="Times New Roman" w:hAnsi="Times New Roman" w:eastAsia="仿宋_GB2312"/>
          <w:kern w:val="1"/>
          <w:sz w:val="32"/>
          <w:szCs w:val="32"/>
          <w:lang w:val="en-US" w:eastAsia="zh-CN"/>
        </w:rPr>
        <w:t>9</w:t>
      </w:r>
      <w:r>
        <w:rPr>
          <w:rFonts w:hint="default" w:ascii="Times New Roman" w:hAnsi="Times New Roman" w:eastAsia="仿宋_GB2312"/>
          <w:kern w:val="1"/>
          <w:sz w:val="32"/>
          <w:szCs w:val="32"/>
          <w:lang w:val="en-US" w:eastAsia="zh-CN"/>
        </w:rPr>
        <w:t>-2025</w:t>
      </w:r>
      <w:r>
        <w:rPr>
          <w:rFonts w:hint="eastAsia" w:ascii="Times New Roman" w:hAnsi="Times New Roman" w:eastAsia="仿宋_GB2312"/>
          <w:kern w:val="1"/>
          <w:sz w:val="32"/>
          <w:szCs w:val="32"/>
          <w:lang w:val="en-US" w:eastAsia="zh-CN"/>
        </w:rPr>
        <w:t xml:space="preserve"> </w:t>
      </w:r>
      <w:r>
        <w:rPr>
          <w:rFonts w:hint="default" w:ascii="Times New Roman" w:hAnsi="Times New Roman" w:eastAsia="仿宋_GB2312"/>
          <w:kern w:val="1"/>
          <w:sz w:val="32"/>
          <w:szCs w:val="32"/>
          <w:lang w:val="en-US" w:eastAsia="zh-CN"/>
        </w:rPr>
        <w:t>QAS-JH3</w:t>
      </w:r>
      <w:r>
        <w:rPr>
          <w:rFonts w:hint="eastAsia" w:ascii="Times New Roman" w:hAnsi="Times New Roman" w:eastAsia="仿宋_GB2312"/>
          <w:kern w:val="1"/>
          <w:sz w:val="32"/>
          <w:szCs w:val="32"/>
          <w:lang w:val="en-US" w:eastAsia="zh-CN"/>
        </w:rPr>
        <w:t>8</w:t>
      </w:r>
      <w:r>
        <w:rPr>
          <w:rFonts w:hint="default" w:ascii="Times New Roman" w:hAnsi="Times New Roman" w:eastAsia="仿宋_GB2312"/>
          <w:kern w:val="1"/>
          <w:sz w:val="32"/>
          <w:szCs w:val="32"/>
          <w:lang w:val="en-US" w:eastAsia="zh-CN"/>
        </w:rPr>
        <w:t>-2025</w:t>
      </w:r>
      <w:r>
        <w:rPr>
          <w:rFonts w:ascii="Times New Roman" w:hAnsi="Times New Roman" w:eastAsia="仿宋_GB2312"/>
          <w:kern w:val="1"/>
          <w:sz w:val="32"/>
          <w:szCs w:val="32"/>
        </w:rPr>
        <w:t>）</w:t>
      </w:r>
      <w:r>
        <w:rPr>
          <w:rFonts w:hint="eastAsia" w:ascii="Times New Roman" w:hAnsi="Times New Roman" w:eastAsia="仿宋_GB2312"/>
          <w:kern w:val="1"/>
          <w:sz w:val="32"/>
          <w:szCs w:val="32"/>
        </w:rPr>
        <w:t>团体</w:t>
      </w:r>
      <w:r>
        <w:rPr>
          <w:rFonts w:ascii="Times New Roman" w:hAnsi="Times New Roman" w:eastAsia="仿宋_GB2312"/>
          <w:kern w:val="1"/>
          <w:sz w:val="32"/>
          <w:szCs w:val="32"/>
        </w:rPr>
        <w:t>标准的制定。</w:t>
      </w:r>
    </w:p>
    <w:p w14:paraId="433B5313">
      <w:pPr>
        <w:spacing w:line="360" w:lineRule="auto"/>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（二）起草单位、协作单位</w:t>
      </w:r>
    </w:p>
    <w:p w14:paraId="01AD0AA1">
      <w:pPr>
        <w:spacing w:line="360" w:lineRule="auto"/>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rPr>
        <w:t>起草单位：</w:t>
      </w:r>
      <w:r>
        <w:rPr>
          <w:rFonts w:hint="eastAsia" w:ascii="Times New Roman" w:hAnsi="Times New Roman" w:eastAsia="仿宋_GB2312" w:cs="Times New Roman"/>
          <w:kern w:val="0"/>
          <w:sz w:val="32"/>
          <w:szCs w:val="32"/>
          <w:lang w:eastAsia="zh-CN"/>
        </w:rPr>
        <w:t>西宁市蔬菜技术服务中心</w:t>
      </w:r>
    </w:p>
    <w:p w14:paraId="3320DEBB">
      <w:pPr>
        <w:spacing w:line="360" w:lineRule="auto"/>
        <w:ind w:firstLine="640" w:firstLineChars="200"/>
        <w:rPr>
          <w:rFonts w:hint="eastAsia" w:ascii="Times New Roman" w:hAnsi="Times New Roman" w:eastAsia="仿宋_GB2312"/>
          <w:sz w:val="32"/>
          <w:szCs w:val="32"/>
          <w:highlight w:val="red"/>
          <w:lang w:eastAsia="zh-CN"/>
        </w:rPr>
      </w:pPr>
      <w:r>
        <w:rPr>
          <w:rFonts w:hint="eastAsia" w:ascii="Times New Roman" w:hAnsi="Times New Roman" w:eastAsia="仿宋_GB2312"/>
          <w:sz w:val="32"/>
          <w:szCs w:val="32"/>
        </w:rPr>
        <w:t>协作单位：</w:t>
      </w:r>
      <w:r>
        <w:rPr>
          <w:rFonts w:hint="eastAsia" w:ascii="Times New Roman" w:hAnsi="Times New Roman" w:eastAsia="仿宋_GB2312"/>
          <w:sz w:val="32"/>
          <w:szCs w:val="32"/>
          <w:lang w:eastAsia="zh-CN"/>
        </w:rPr>
        <w:t>西宁植物园、</w:t>
      </w:r>
      <w:r>
        <w:rPr>
          <w:rFonts w:hint="eastAsia" w:ascii="Times New Roman" w:hAnsi="Times New Roman" w:eastAsia="仿宋_GB2312"/>
          <w:sz w:val="32"/>
          <w:szCs w:val="32"/>
          <w:highlight w:val="none"/>
          <w:lang w:val="en-US" w:eastAsia="zh-CN"/>
        </w:rPr>
        <w:t>海东市农业农村综合服务中心、湟中区蔬菜服务中心、青海丰辉农牧业开发有限公司</w:t>
      </w:r>
    </w:p>
    <w:p w14:paraId="6E241D94">
      <w:pPr>
        <w:numPr>
          <w:ilvl w:val="0"/>
          <w:numId w:val="3"/>
        </w:numPr>
        <w:spacing w:line="360" w:lineRule="auto"/>
        <w:ind w:firstLine="640" w:firstLineChars="200"/>
        <w:rPr>
          <w:rFonts w:hint="eastAsia" w:ascii="Times New Roman" w:hAnsi="Times New Roman" w:eastAsia="楷体_GB2312" w:cs="Times New Roman"/>
          <w:sz w:val="32"/>
          <w:szCs w:val="32"/>
        </w:rPr>
      </w:pPr>
      <w:r>
        <w:rPr>
          <w:rFonts w:hint="eastAsia" w:ascii="Times New Roman" w:hAnsi="Times New Roman" w:eastAsia="楷体_GB2312" w:cs="Times New Roman"/>
          <w:sz w:val="32"/>
          <w:szCs w:val="32"/>
        </w:rPr>
        <w:t>主要起草人</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99"/>
        <w:gridCol w:w="1461"/>
        <w:gridCol w:w="2111"/>
        <w:gridCol w:w="3085"/>
      </w:tblGrid>
      <w:tr w14:paraId="1E22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66673EB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姓名</w:t>
            </w:r>
          </w:p>
        </w:tc>
        <w:tc>
          <w:tcPr>
            <w:tcW w:w="799" w:type="dxa"/>
            <w:vAlign w:val="center"/>
          </w:tcPr>
          <w:p w14:paraId="08CDACA3">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性别</w:t>
            </w:r>
          </w:p>
        </w:tc>
        <w:tc>
          <w:tcPr>
            <w:tcW w:w="1461" w:type="dxa"/>
            <w:vAlign w:val="center"/>
          </w:tcPr>
          <w:p w14:paraId="6B455AEA">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职务/职称</w:t>
            </w:r>
          </w:p>
        </w:tc>
        <w:tc>
          <w:tcPr>
            <w:tcW w:w="2111" w:type="dxa"/>
            <w:vAlign w:val="center"/>
          </w:tcPr>
          <w:p w14:paraId="0B5BBA5D">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工作单位</w:t>
            </w:r>
          </w:p>
        </w:tc>
        <w:tc>
          <w:tcPr>
            <w:tcW w:w="3085" w:type="dxa"/>
            <w:vAlign w:val="center"/>
          </w:tcPr>
          <w:p w14:paraId="3948F249">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任务分工</w:t>
            </w:r>
          </w:p>
        </w:tc>
      </w:tr>
      <w:tr w14:paraId="321A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5BA04B93">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冯玉珠</w:t>
            </w:r>
          </w:p>
        </w:tc>
        <w:tc>
          <w:tcPr>
            <w:tcW w:w="799" w:type="dxa"/>
            <w:vAlign w:val="center"/>
          </w:tcPr>
          <w:p w14:paraId="298539D0">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男</w:t>
            </w:r>
          </w:p>
        </w:tc>
        <w:tc>
          <w:tcPr>
            <w:tcW w:w="1461" w:type="dxa"/>
            <w:vAlign w:val="center"/>
          </w:tcPr>
          <w:p w14:paraId="2E5CF8D4">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高级农艺师</w:t>
            </w:r>
          </w:p>
        </w:tc>
        <w:tc>
          <w:tcPr>
            <w:tcW w:w="2111" w:type="dxa"/>
            <w:vAlign w:val="center"/>
          </w:tcPr>
          <w:p w14:paraId="3A108928">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3CC58EF8">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标准整体框架设计、起草工作总统筹，核心技术条款审核与定稿</w:t>
            </w:r>
          </w:p>
        </w:tc>
      </w:tr>
      <w:tr w14:paraId="18DA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65357218">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禹涛</w:t>
            </w:r>
          </w:p>
        </w:tc>
        <w:tc>
          <w:tcPr>
            <w:tcW w:w="799" w:type="dxa"/>
            <w:vAlign w:val="center"/>
          </w:tcPr>
          <w:p w14:paraId="4953DE37">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男</w:t>
            </w:r>
          </w:p>
        </w:tc>
        <w:tc>
          <w:tcPr>
            <w:tcW w:w="1461" w:type="dxa"/>
            <w:vAlign w:val="center"/>
          </w:tcPr>
          <w:p w14:paraId="04A689F8">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农艺师</w:t>
            </w:r>
          </w:p>
        </w:tc>
        <w:tc>
          <w:tcPr>
            <w:tcW w:w="2111" w:type="dxa"/>
            <w:vAlign w:val="center"/>
          </w:tcPr>
          <w:p w14:paraId="1004F0C2">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704E749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编制说明工作简况的编写</w:t>
            </w:r>
          </w:p>
        </w:tc>
      </w:tr>
      <w:tr w14:paraId="388E6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26F357E8">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张晓梅</w:t>
            </w:r>
          </w:p>
        </w:tc>
        <w:tc>
          <w:tcPr>
            <w:tcW w:w="799" w:type="dxa"/>
            <w:vAlign w:val="center"/>
          </w:tcPr>
          <w:p w14:paraId="4E0C7D7F">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7F895BE1">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高级农艺师</w:t>
            </w:r>
          </w:p>
        </w:tc>
        <w:tc>
          <w:tcPr>
            <w:tcW w:w="2111" w:type="dxa"/>
            <w:vAlign w:val="center"/>
          </w:tcPr>
          <w:p w14:paraId="630CD353">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77B79A0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标准起草总协调，商品化处理核心体系搭建</w:t>
            </w:r>
          </w:p>
        </w:tc>
      </w:tr>
      <w:tr w14:paraId="33D9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78CC28D6">
            <w:pPr>
              <w:spacing w:line="400" w:lineRule="exact"/>
              <w:jc w:val="both"/>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孔小平</w:t>
            </w:r>
          </w:p>
        </w:tc>
        <w:tc>
          <w:tcPr>
            <w:tcW w:w="799" w:type="dxa"/>
            <w:vAlign w:val="center"/>
          </w:tcPr>
          <w:p w14:paraId="2312D7CB">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55203C5B">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研究员</w:t>
            </w:r>
          </w:p>
        </w:tc>
        <w:tc>
          <w:tcPr>
            <w:tcW w:w="2111" w:type="dxa"/>
            <w:vAlign w:val="center"/>
          </w:tcPr>
          <w:p w14:paraId="75EBFD3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西宁植物园</w:t>
            </w:r>
          </w:p>
        </w:tc>
        <w:tc>
          <w:tcPr>
            <w:tcW w:w="3085" w:type="dxa"/>
            <w:vAlign w:val="center"/>
          </w:tcPr>
          <w:p w14:paraId="50296456">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技术条款整体可行性把控</w:t>
            </w:r>
          </w:p>
        </w:tc>
      </w:tr>
      <w:tr w14:paraId="6B3B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522E2D47">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严湘萍</w:t>
            </w:r>
          </w:p>
        </w:tc>
        <w:tc>
          <w:tcPr>
            <w:tcW w:w="799" w:type="dxa"/>
            <w:vAlign w:val="center"/>
          </w:tcPr>
          <w:p w14:paraId="4696913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0387862C">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高级农艺师</w:t>
            </w:r>
          </w:p>
        </w:tc>
        <w:tc>
          <w:tcPr>
            <w:tcW w:w="2111" w:type="dxa"/>
            <w:vAlign w:val="center"/>
          </w:tcPr>
          <w:p w14:paraId="0DA1B58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1ADBC35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编制说明主要起草过程的编写</w:t>
            </w:r>
          </w:p>
        </w:tc>
      </w:tr>
      <w:tr w14:paraId="2F8B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316B21C3">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周倩怡</w:t>
            </w:r>
          </w:p>
        </w:tc>
        <w:tc>
          <w:tcPr>
            <w:tcW w:w="799" w:type="dxa"/>
            <w:vAlign w:val="center"/>
          </w:tcPr>
          <w:p w14:paraId="2DFC9648">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553E3662">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助理农艺师</w:t>
            </w:r>
          </w:p>
        </w:tc>
        <w:tc>
          <w:tcPr>
            <w:tcW w:w="2111" w:type="dxa"/>
            <w:vAlign w:val="center"/>
          </w:tcPr>
          <w:p w14:paraId="5FA603DF">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6876481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标准全文文字校对、格式规范统一，按GB/T 1.1—2020梳理标准结构</w:t>
            </w:r>
          </w:p>
        </w:tc>
      </w:tr>
      <w:tr w14:paraId="6375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1E59C73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周红伟</w:t>
            </w:r>
          </w:p>
        </w:tc>
        <w:tc>
          <w:tcPr>
            <w:tcW w:w="799" w:type="dxa"/>
            <w:vAlign w:val="center"/>
          </w:tcPr>
          <w:p w14:paraId="77E0A448">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425F2A2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高级农艺师</w:t>
            </w:r>
          </w:p>
        </w:tc>
        <w:tc>
          <w:tcPr>
            <w:tcW w:w="2111" w:type="dxa"/>
            <w:vAlign w:val="center"/>
          </w:tcPr>
          <w:p w14:paraId="22371330">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46783F1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编制说明制定标准的原则、依据，与现行法律、法规、标准关系的编写</w:t>
            </w:r>
          </w:p>
        </w:tc>
      </w:tr>
      <w:tr w14:paraId="4F69A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4007D93A">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魏廷珍</w:t>
            </w:r>
          </w:p>
        </w:tc>
        <w:tc>
          <w:tcPr>
            <w:tcW w:w="799" w:type="dxa"/>
            <w:vAlign w:val="center"/>
          </w:tcPr>
          <w:p w14:paraId="02A728ED">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17F88E3B">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高级农艺师</w:t>
            </w:r>
          </w:p>
        </w:tc>
        <w:tc>
          <w:tcPr>
            <w:tcW w:w="2111" w:type="dxa"/>
            <w:vAlign w:val="center"/>
          </w:tcPr>
          <w:p w14:paraId="1CE438B8">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0E74E34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编制说明主要条款说明内不同采收时间对甘蓝品质的影响的编写</w:t>
            </w:r>
          </w:p>
        </w:tc>
      </w:tr>
      <w:tr w14:paraId="0B5FD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0BD337D7">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陈利文</w:t>
            </w:r>
          </w:p>
        </w:tc>
        <w:tc>
          <w:tcPr>
            <w:tcW w:w="799" w:type="dxa"/>
            <w:vAlign w:val="center"/>
          </w:tcPr>
          <w:p w14:paraId="4BB50FF2">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男</w:t>
            </w:r>
          </w:p>
        </w:tc>
        <w:tc>
          <w:tcPr>
            <w:tcW w:w="1461" w:type="dxa"/>
            <w:vAlign w:val="center"/>
          </w:tcPr>
          <w:p w14:paraId="74E3D572">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助理农艺师</w:t>
            </w:r>
          </w:p>
        </w:tc>
        <w:tc>
          <w:tcPr>
            <w:tcW w:w="2111" w:type="dxa"/>
            <w:vAlign w:val="center"/>
          </w:tcPr>
          <w:p w14:paraId="60D56209">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0FA1EED6">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采收配套条款编写，制定装箱器具、质量安全的技术要求与相关标准的衔接</w:t>
            </w:r>
          </w:p>
        </w:tc>
      </w:tr>
      <w:tr w14:paraId="7986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0B771E47">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张琨</w:t>
            </w:r>
          </w:p>
        </w:tc>
        <w:tc>
          <w:tcPr>
            <w:tcW w:w="799" w:type="dxa"/>
            <w:vAlign w:val="center"/>
          </w:tcPr>
          <w:p w14:paraId="4C334A51">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男</w:t>
            </w:r>
          </w:p>
        </w:tc>
        <w:tc>
          <w:tcPr>
            <w:tcW w:w="1461" w:type="dxa"/>
            <w:vAlign w:val="center"/>
          </w:tcPr>
          <w:p w14:paraId="658BC8E4">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高级农艺师</w:t>
            </w:r>
          </w:p>
        </w:tc>
        <w:tc>
          <w:tcPr>
            <w:tcW w:w="2111" w:type="dxa"/>
            <w:vAlign w:val="center"/>
          </w:tcPr>
          <w:p w14:paraId="08EE0E5B">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4A7F989C">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编制说明主要条款说明内不同核心温度对甘蓝预冷效果及贮藏品质的影响的编写</w:t>
            </w:r>
          </w:p>
        </w:tc>
      </w:tr>
      <w:tr w14:paraId="4E49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44C73BE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梅燕</w:t>
            </w:r>
          </w:p>
        </w:tc>
        <w:tc>
          <w:tcPr>
            <w:tcW w:w="799" w:type="dxa"/>
            <w:vAlign w:val="center"/>
          </w:tcPr>
          <w:p w14:paraId="1327354D">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3E6F3863">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农艺师</w:t>
            </w:r>
          </w:p>
        </w:tc>
        <w:tc>
          <w:tcPr>
            <w:tcW w:w="2111" w:type="dxa"/>
            <w:vAlign w:val="center"/>
          </w:tcPr>
          <w:p w14:paraId="15105BA0">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75ED7266">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制定运输温度、装载条件、混装禁忌等冷链技术要求</w:t>
            </w:r>
          </w:p>
        </w:tc>
      </w:tr>
      <w:tr w14:paraId="2740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6CF97C9C">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王佳莹</w:t>
            </w:r>
          </w:p>
        </w:tc>
        <w:tc>
          <w:tcPr>
            <w:tcW w:w="799" w:type="dxa"/>
            <w:vAlign w:val="center"/>
          </w:tcPr>
          <w:p w14:paraId="5EA9FA6C">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5ADC8644">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助理农艺师</w:t>
            </w:r>
          </w:p>
        </w:tc>
        <w:tc>
          <w:tcPr>
            <w:tcW w:w="2111" w:type="dxa"/>
            <w:vAlign w:val="center"/>
          </w:tcPr>
          <w:p w14:paraId="40638BD2">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2206DA0A">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交接检查环节编写，制定具体操作与判定标准</w:t>
            </w:r>
          </w:p>
        </w:tc>
      </w:tr>
      <w:tr w14:paraId="7D8E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2233F9DF">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张金发</w:t>
            </w:r>
          </w:p>
        </w:tc>
        <w:tc>
          <w:tcPr>
            <w:tcW w:w="799" w:type="dxa"/>
            <w:vAlign w:val="center"/>
          </w:tcPr>
          <w:p w14:paraId="541D507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男</w:t>
            </w:r>
          </w:p>
        </w:tc>
        <w:tc>
          <w:tcPr>
            <w:tcW w:w="1461" w:type="dxa"/>
            <w:vAlign w:val="center"/>
          </w:tcPr>
          <w:p w14:paraId="769D6090">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助理农艺师</w:t>
            </w:r>
          </w:p>
        </w:tc>
        <w:tc>
          <w:tcPr>
            <w:tcW w:w="2111" w:type="dxa"/>
            <w:vAlign w:val="center"/>
          </w:tcPr>
          <w:p w14:paraId="33AE70EB">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274C93A7">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试验数据整理分析，标准编制说明撰写，原始数据校核与归档</w:t>
            </w:r>
          </w:p>
        </w:tc>
      </w:tr>
      <w:tr w14:paraId="79E8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57658FDC">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张生田</w:t>
            </w:r>
          </w:p>
        </w:tc>
        <w:tc>
          <w:tcPr>
            <w:tcW w:w="799" w:type="dxa"/>
            <w:vAlign w:val="center"/>
          </w:tcPr>
          <w:p w14:paraId="2557E557">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男</w:t>
            </w:r>
          </w:p>
        </w:tc>
        <w:tc>
          <w:tcPr>
            <w:tcW w:w="1461" w:type="dxa"/>
            <w:vAlign w:val="center"/>
          </w:tcPr>
          <w:p w14:paraId="1105E44C">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高级农艺师</w:t>
            </w:r>
          </w:p>
        </w:tc>
        <w:tc>
          <w:tcPr>
            <w:tcW w:w="2111" w:type="dxa"/>
            <w:vAlign w:val="center"/>
          </w:tcPr>
          <w:p w14:paraId="0C45D1A1">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1CB474C9">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规范性引用文件梳理与校核，地方适配性技术条款验证与补充</w:t>
            </w:r>
          </w:p>
        </w:tc>
      </w:tr>
      <w:tr w14:paraId="2C51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2E04762C">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马文婷</w:t>
            </w:r>
          </w:p>
        </w:tc>
        <w:tc>
          <w:tcPr>
            <w:tcW w:w="799" w:type="dxa"/>
            <w:vAlign w:val="center"/>
          </w:tcPr>
          <w:p w14:paraId="16A1F61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65E3DEA4">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助理农艺师</w:t>
            </w:r>
          </w:p>
        </w:tc>
        <w:tc>
          <w:tcPr>
            <w:tcW w:w="2111" w:type="dxa"/>
            <w:vAlign w:val="center"/>
          </w:tcPr>
          <w:p w14:paraId="07654A99">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47EA3C96">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术语和定义编制，专业词汇统一与校核，标准名词解释规范</w:t>
            </w:r>
          </w:p>
        </w:tc>
      </w:tr>
      <w:tr w14:paraId="75C6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5F8502A0">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张玉岚</w:t>
            </w:r>
          </w:p>
        </w:tc>
        <w:tc>
          <w:tcPr>
            <w:tcW w:w="799" w:type="dxa"/>
            <w:vAlign w:val="center"/>
          </w:tcPr>
          <w:p w14:paraId="7E3CD691">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5594EFA3">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助理农艺师</w:t>
            </w:r>
          </w:p>
        </w:tc>
        <w:tc>
          <w:tcPr>
            <w:tcW w:w="2111" w:type="dxa"/>
            <w:vAlign w:val="center"/>
          </w:tcPr>
          <w:p w14:paraId="6D893BB6">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3085" w:type="dxa"/>
            <w:vAlign w:val="center"/>
          </w:tcPr>
          <w:p w14:paraId="3DB297C0">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标准内容初审，技术条款合理性、实操性验证，提出修改完善建议</w:t>
            </w:r>
          </w:p>
        </w:tc>
      </w:tr>
      <w:tr w14:paraId="0967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384A2B4F">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魏建平</w:t>
            </w:r>
          </w:p>
        </w:tc>
        <w:tc>
          <w:tcPr>
            <w:tcW w:w="799" w:type="dxa"/>
            <w:vAlign w:val="center"/>
          </w:tcPr>
          <w:p w14:paraId="44ADEB97">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男</w:t>
            </w:r>
          </w:p>
        </w:tc>
        <w:tc>
          <w:tcPr>
            <w:tcW w:w="1461" w:type="dxa"/>
            <w:vAlign w:val="center"/>
          </w:tcPr>
          <w:p w14:paraId="37A9A0D9">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高级农艺师</w:t>
            </w:r>
          </w:p>
        </w:tc>
        <w:tc>
          <w:tcPr>
            <w:tcW w:w="2111" w:type="dxa"/>
            <w:vAlign w:val="center"/>
          </w:tcPr>
          <w:p w14:paraId="0E966C5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湟中区蔬菜服务中心</w:t>
            </w:r>
          </w:p>
        </w:tc>
        <w:tc>
          <w:tcPr>
            <w:tcW w:w="3085" w:type="dxa"/>
            <w:vAlign w:val="center"/>
          </w:tcPr>
          <w:p w14:paraId="00BCBE22">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贮藏与预冷环节细化，制定基层仓储实操建议，优化堆码与温湿度控制细则</w:t>
            </w:r>
          </w:p>
        </w:tc>
      </w:tr>
      <w:tr w14:paraId="42CE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53E0704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祁娟</w:t>
            </w:r>
          </w:p>
        </w:tc>
        <w:tc>
          <w:tcPr>
            <w:tcW w:w="799" w:type="dxa"/>
            <w:vAlign w:val="center"/>
          </w:tcPr>
          <w:p w14:paraId="5939E6A1">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481FE250">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农艺师</w:t>
            </w:r>
          </w:p>
        </w:tc>
        <w:tc>
          <w:tcPr>
            <w:tcW w:w="2111" w:type="dxa"/>
            <w:vAlign w:val="center"/>
          </w:tcPr>
          <w:p w14:paraId="74DA8D28">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湟中区蔬菜服务中心</w:t>
            </w:r>
          </w:p>
        </w:tc>
        <w:tc>
          <w:tcPr>
            <w:tcW w:w="3085" w:type="dxa"/>
            <w:vAlign w:val="center"/>
          </w:tcPr>
          <w:p w14:paraId="2E88A327">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青花菜专项技术编写，制定青花菜采收、预冷、包装的专属处理细则</w:t>
            </w:r>
          </w:p>
        </w:tc>
      </w:tr>
      <w:tr w14:paraId="0A1EC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0E9F463C">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许小燕</w:t>
            </w:r>
          </w:p>
        </w:tc>
        <w:tc>
          <w:tcPr>
            <w:tcW w:w="799" w:type="dxa"/>
            <w:vAlign w:val="center"/>
          </w:tcPr>
          <w:p w14:paraId="4B6D5C20">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4AFC5F96">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助理农艺师</w:t>
            </w:r>
          </w:p>
        </w:tc>
        <w:tc>
          <w:tcPr>
            <w:tcW w:w="2111" w:type="dxa"/>
            <w:vAlign w:val="center"/>
          </w:tcPr>
          <w:p w14:paraId="04FD43F1">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海东市农业农村综合服务中心</w:t>
            </w:r>
          </w:p>
        </w:tc>
        <w:tc>
          <w:tcPr>
            <w:tcW w:w="3085" w:type="dxa"/>
            <w:vAlign w:val="center"/>
          </w:tcPr>
          <w:p w14:paraId="675E0301">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结球甘蓝专项技术编写，制定结球甘蓝采收、整理、贮藏的专属处理细则</w:t>
            </w:r>
          </w:p>
        </w:tc>
      </w:tr>
      <w:tr w14:paraId="0D85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73CA5242">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蒋浩帧</w:t>
            </w:r>
          </w:p>
        </w:tc>
        <w:tc>
          <w:tcPr>
            <w:tcW w:w="799" w:type="dxa"/>
            <w:vAlign w:val="center"/>
          </w:tcPr>
          <w:p w14:paraId="7E52D7D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男</w:t>
            </w:r>
          </w:p>
        </w:tc>
        <w:tc>
          <w:tcPr>
            <w:tcW w:w="1461" w:type="dxa"/>
            <w:vAlign w:val="center"/>
          </w:tcPr>
          <w:p w14:paraId="347659D2">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农艺师</w:t>
            </w:r>
          </w:p>
        </w:tc>
        <w:tc>
          <w:tcPr>
            <w:tcW w:w="2111" w:type="dxa"/>
            <w:vAlign w:val="center"/>
          </w:tcPr>
          <w:p w14:paraId="4B1BA308">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海东市农业农村综合服务中心</w:t>
            </w:r>
          </w:p>
        </w:tc>
        <w:tc>
          <w:tcPr>
            <w:tcW w:w="3085" w:type="dxa"/>
            <w:vAlign w:val="center"/>
          </w:tcPr>
          <w:p w14:paraId="277D141B">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苤蓝、羽衣甘蓝专项技术编写，制定特色甘蓝类采收与商品化处理要求</w:t>
            </w:r>
          </w:p>
        </w:tc>
      </w:tr>
      <w:tr w14:paraId="74E7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70B1D20F">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徐文瑾</w:t>
            </w:r>
          </w:p>
        </w:tc>
        <w:tc>
          <w:tcPr>
            <w:tcW w:w="799" w:type="dxa"/>
            <w:vAlign w:val="center"/>
          </w:tcPr>
          <w:p w14:paraId="0B7C47E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6EE2370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农艺师</w:t>
            </w:r>
          </w:p>
        </w:tc>
        <w:tc>
          <w:tcPr>
            <w:tcW w:w="2111" w:type="dxa"/>
            <w:vAlign w:val="center"/>
          </w:tcPr>
          <w:p w14:paraId="2A84712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海东市农业农村综合服务中心</w:t>
            </w:r>
          </w:p>
        </w:tc>
        <w:tc>
          <w:tcPr>
            <w:tcW w:w="3085" w:type="dxa"/>
            <w:vAlign w:val="center"/>
          </w:tcPr>
          <w:p w14:paraId="22E7E9B1">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冷链运输与预冷环节衔接编写，细化温湿度全程控制与设备操作技术要求</w:t>
            </w:r>
          </w:p>
        </w:tc>
      </w:tr>
      <w:tr w14:paraId="5DB3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2EF8135D">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韩彦艳</w:t>
            </w:r>
          </w:p>
        </w:tc>
        <w:tc>
          <w:tcPr>
            <w:tcW w:w="799" w:type="dxa"/>
            <w:vAlign w:val="center"/>
          </w:tcPr>
          <w:p w14:paraId="42C1CE24">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7F9F551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农艺师</w:t>
            </w:r>
          </w:p>
        </w:tc>
        <w:tc>
          <w:tcPr>
            <w:tcW w:w="2111" w:type="dxa"/>
            <w:vAlign w:val="center"/>
          </w:tcPr>
          <w:p w14:paraId="4EF9A2E2">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海东市农业农村综合服务中心</w:t>
            </w:r>
          </w:p>
        </w:tc>
        <w:tc>
          <w:tcPr>
            <w:tcW w:w="3085" w:type="dxa"/>
            <w:vAlign w:val="center"/>
          </w:tcPr>
          <w:p w14:paraId="3E355255">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标准资料收集与整理，起草单位、人员信息核对</w:t>
            </w:r>
          </w:p>
        </w:tc>
      </w:tr>
      <w:tr w14:paraId="4204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72" w:type="dxa"/>
            <w:vAlign w:val="center"/>
          </w:tcPr>
          <w:p w14:paraId="1B8E148E">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刘秋花</w:t>
            </w:r>
          </w:p>
        </w:tc>
        <w:tc>
          <w:tcPr>
            <w:tcW w:w="799" w:type="dxa"/>
            <w:vAlign w:val="center"/>
          </w:tcPr>
          <w:p w14:paraId="755DEA4C">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女</w:t>
            </w:r>
          </w:p>
        </w:tc>
        <w:tc>
          <w:tcPr>
            <w:tcW w:w="1461" w:type="dxa"/>
            <w:vAlign w:val="center"/>
          </w:tcPr>
          <w:p w14:paraId="3EADDAF0">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高级农艺师</w:t>
            </w:r>
          </w:p>
        </w:tc>
        <w:tc>
          <w:tcPr>
            <w:tcW w:w="2111" w:type="dxa"/>
            <w:vAlign w:val="center"/>
          </w:tcPr>
          <w:p w14:paraId="3A5B1993">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青海丰辉农牧业开发有限公司</w:t>
            </w:r>
          </w:p>
        </w:tc>
        <w:tc>
          <w:tcPr>
            <w:tcW w:w="3085" w:type="dxa"/>
            <w:vAlign w:val="center"/>
          </w:tcPr>
          <w:p w14:paraId="19E98049">
            <w:pPr>
              <w:spacing w:line="400" w:lineRule="exact"/>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初步修改规范内容，优化技术条款的落地性</w:t>
            </w:r>
          </w:p>
        </w:tc>
      </w:tr>
    </w:tbl>
    <w:p w14:paraId="187815D4">
      <w:pPr>
        <w:keepNext w:val="0"/>
        <w:keepLines w:val="0"/>
        <w:pageBreakBefore w:val="0"/>
        <w:widowControl w:val="0"/>
        <w:kinsoku/>
        <w:wordWrap/>
        <w:overflowPunct/>
        <w:topLinePunct w:val="0"/>
        <w:autoSpaceDE/>
        <w:autoSpaceDN/>
        <w:bidi w:val="0"/>
        <w:adjustRightInd/>
        <w:snapToGrid/>
        <w:spacing w:before="157" w:beforeLines="50"/>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二、制定标准的必要性和意义</w:t>
      </w:r>
    </w:p>
    <w:p w14:paraId="7D00AA1B">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甘蓝类蔬菜是青海冷凉蔬菜的核心支柱，适配青海夏季冷凉、光照足的气候，无需复杂设施即可高产，是自然条件利用率最高的品类之一。它作为青海冷凉蔬菜第一大外销单品，夏季错峰抢占全国市场，是“高原冷凉蔬菜”的代表，带动农户增收。当前其</w:t>
      </w:r>
      <w:r>
        <w:rPr>
          <w:rFonts w:hint="eastAsia" w:ascii="Times New Roman" w:hAnsi="Times New Roman" w:eastAsia="仿宋_GB2312" w:cs="Times New Roman"/>
          <w:kern w:val="0"/>
          <w:sz w:val="32"/>
          <w:szCs w:val="32"/>
          <w:lang w:eastAsia="zh-CN"/>
        </w:rPr>
        <w:t>采后</w:t>
      </w:r>
      <w:r>
        <w:rPr>
          <w:rFonts w:hint="eastAsia" w:ascii="Times New Roman" w:hAnsi="Times New Roman" w:eastAsia="仿宋_GB2312" w:cs="Times New Roman"/>
          <w:kern w:val="0"/>
          <w:sz w:val="32"/>
          <w:szCs w:val="32"/>
        </w:rPr>
        <w:t>商品化处理问题突出，常温下易黄化、腐烂，货架期短</w:t>
      </w:r>
      <w:r>
        <w:rPr>
          <w:rFonts w:hint="eastAsia" w:ascii="Times New Roman" w:hAnsi="Times New Roman" w:eastAsia="仿宋_GB2312" w:cs="Times New Roman"/>
          <w:kern w:val="0"/>
          <w:sz w:val="32"/>
          <w:szCs w:val="32"/>
          <w:lang w:eastAsia="zh-CN"/>
        </w:rPr>
        <w:t>等</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严重影响商品品质。目前无</w:t>
      </w:r>
      <w:r>
        <w:rPr>
          <w:rFonts w:hint="eastAsia" w:ascii="Times New Roman" w:hAnsi="Times New Roman" w:eastAsia="仿宋_GB2312" w:cs="Times New Roman"/>
          <w:kern w:val="0"/>
          <w:sz w:val="32"/>
          <w:szCs w:val="32"/>
        </w:rPr>
        <w:t>统一采后处理标准，</w:t>
      </w:r>
      <w:r>
        <w:rPr>
          <w:rFonts w:hint="eastAsia" w:ascii="Times New Roman" w:hAnsi="Times New Roman" w:eastAsia="仿宋_GB2312" w:cs="Times New Roman"/>
          <w:kern w:val="0"/>
          <w:sz w:val="32"/>
          <w:szCs w:val="32"/>
          <w:lang w:eastAsia="zh-CN"/>
        </w:rPr>
        <w:t>无法</w:t>
      </w:r>
      <w:r>
        <w:rPr>
          <w:rFonts w:hint="eastAsia" w:ascii="Times New Roman" w:hAnsi="Times New Roman" w:eastAsia="仿宋_GB2312" w:cs="Times New Roman"/>
          <w:kern w:val="0"/>
          <w:sz w:val="32"/>
          <w:szCs w:val="32"/>
        </w:rPr>
        <w:t>解决“同菜不同质”的问题，</w:t>
      </w:r>
      <w:r>
        <w:rPr>
          <w:rFonts w:hint="eastAsia" w:ascii="Times New Roman" w:hAnsi="Times New Roman" w:eastAsia="仿宋_GB2312" w:cs="Times New Roman"/>
          <w:kern w:val="0"/>
          <w:sz w:val="32"/>
          <w:szCs w:val="32"/>
          <w:lang w:eastAsia="zh-CN"/>
        </w:rPr>
        <w:t>为了</w:t>
      </w:r>
      <w:r>
        <w:rPr>
          <w:rFonts w:hint="eastAsia" w:ascii="Times New Roman" w:hAnsi="Times New Roman" w:eastAsia="仿宋_GB2312" w:cs="Times New Roman"/>
          <w:kern w:val="0"/>
          <w:sz w:val="32"/>
          <w:szCs w:val="32"/>
        </w:rPr>
        <w:t>提升</w:t>
      </w:r>
      <w:r>
        <w:rPr>
          <w:rFonts w:hint="eastAsia" w:ascii="Times New Roman" w:hAnsi="Times New Roman" w:eastAsia="仿宋_GB2312" w:cs="Times New Roman"/>
          <w:kern w:val="0"/>
          <w:sz w:val="32"/>
          <w:szCs w:val="32"/>
          <w:lang w:eastAsia="zh-CN"/>
        </w:rPr>
        <w:t>蔬菜</w:t>
      </w:r>
      <w:r>
        <w:rPr>
          <w:rFonts w:hint="eastAsia" w:ascii="Times New Roman" w:hAnsi="Times New Roman" w:eastAsia="仿宋_GB2312" w:cs="Times New Roman"/>
          <w:kern w:val="0"/>
          <w:sz w:val="32"/>
          <w:szCs w:val="32"/>
        </w:rPr>
        <w:t>的商品</w:t>
      </w:r>
      <w:r>
        <w:rPr>
          <w:rFonts w:hint="eastAsia" w:ascii="Times New Roman" w:hAnsi="Times New Roman" w:eastAsia="仿宋_GB2312" w:cs="Times New Roman"/>
          <w:kern w:val="0"/>
          <w:sz w:val="32"/>
          <w:szCs w:val="32"/>
          <w:lang w:eastAsia="zh-CN"/>
        </w:rPr>
        <w:t>品质</w:t>
      </w:r>
      <w:r>
        <w:rPr>
          <w:rFonts w:hint="eastAsia" w:ascii="Times New Roman" w:hAnsi="Times New Roman" w:eastAsia="仿宋_GB2312" w:cs="Times New Roman"/>
          <w:kern w:val="0"/>
          <w:sz w:val="32"/>
          <w:szCs w:val="32"/>
        </w:rPr>
        <w:t>和货架期，通过规范采收、预冷、包装等流程，提高产品的保鲜程度和货架期，减少因腐烂变质造成的经济损失，保障菜农和相关企业的利益，促进</w:t>
      </w:r>
      <w:r>
        <w:rPr>
          <w:rFonts w:hint="eastAsia" w:ascii="Times New Roman" w:hAnsi="Times New Roman" w:eastAsia="仿宋_GB2312" w:cs="Times New Roman"/>
          <w:kern w:val="0"/>
          <w:sz w:val="32"/>
          <w:szCs w:val="32"/>
          <w:lang w:eastAsia="zh-CN"/>
        </w:rPr>
        <w:t>甘蓝类蔬菜</w:t>
      </w:r>
      <w:r>
        <w:rPr>
          <w:rFonts w:hint="eastAsia" w:ascii="Times New Roman" w:hAnsi="Times New Roman" w:eastAsia="仿宋_GB2312" w:cs="Times New Roman"/>
          <w:kern w:val="0"/>
          <w:sz w:val="32"/>
          <w:szCs w:val="32"/>
        </w:rPr>
        <w:t>产业的健康、可持续发展</w:t>
      </w:r>
      <w:r>
        <w:rPr>
          <w:rFonts w:hint="eastAsia" w:ascii="Times New Roman" w:hAnsi="Times New Roman" w:eastAsia="仿宋_GB2312" w:cs="Times New Roman"/>
          <w:kern w:val="0"/>
          <w:sz w:val="32"/>
          <w:szCs w:val="32"/>
          <w:lang w:eastAsia="zh-CN"/>
        </w:rPr>
        <w:t>。</w:t>
      </w:r>
    </w:p>
    <w:p w14:paraId="401D2DDD">
      <w:pPr>
        <w:widowControl/>
        <w:shd w:val="clear" w:color="FFFFFF" w:fill="FFFFFF"/>
        <w:spacing w:line="360" w:lineRule="auto"/>
        <w:ind w:firstLine="640" w:firstLineChars="200"/>
        <w:outlineLvl w:val="0"/>
        <w:rPr>
          <w:rFonts w:ascii="Times New Roman" w:hAnsi="Times New Roman" w:eastAsia="黑体" w:cs="Times New Roman"/>
          <w:kern w:val="0"/>
          <w:sz w:val="32"/>
          <w:szCs w:val="32"/>
        </w:rPr>
      </w:pPr>
      <w:r>
        <w:rPr>
          <w:rFonts w:hint="eastAsia" w:ascii="Times New Roman" w:hAnsi="Times New Roman" w:eastAsia="黑体" w:cs="Times New Roman"/>
          <w:kern w:val="0"/>
          <w:sz w:val="32"/>
          <w:szCs w:val="32"/>
        </w:rPr>
        <w:t>三、主要起草过程</w:t>
      </w:r>
    </w:p>
    <w:p w14:paraId="60854BDC">
      <w:pPr>
        <w:spacing w:line="360" w:lineRule="auto"/>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（一）前期研究基础</w:t>
      </w:r>
    </w:p>
    <w:p w14:paraId="1557A21B">
      <w:p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近年来，项目组成员围绕</w:t>
      </w:r>
      <w:r>
        <w:rPr>
          <w:rFonts w:hint="eastAsia" w:ascii="Times New Roman" w:hAnsi="Times New Roman" w:eastAsia="仿宋_GB2312" w:cs="Times New Roman"/>
          <w:kern w:val="0"/>
          <w:sz w:val="32"/>
          <w:szCs w:val="32"/>
          <w:lang w:eastAsia="zh-CN"/>
        </w:rPr>
        <w:t>甘蓝类蔬菜采后</w:t>
      </w:r>
      <w:r>
        <w:rPr>
          <w:rFonts w:hint="eastAsia" w:ascii="Times New Roman" w:hAnsi="Times New Roman" w:eastAsia="仿宋_GB2312" w:cs="Times New Roman"/>
          <w:kern w:val="0"/>
          <w:sz w:val="32"/>
          <w:szCs w:val="32"/>
        </w:rPr>
        <w:t>商品化处理开展</w:t>
      </w:r>
      <w:r>
        <w:rPr>
          <w:rFonts w:hint="eastAsia" w:ascii="Times New Roman" w:hAnsi="Times New Roman" w:eastAsia="仿宋_GB2312" w:cs="Times New Roman"/>
          <w:kern w:val="0"/>
          <w:sz w:val="32"/>
          <w:szCs w:val="32"/>
          <w:lang w:eastAsia="zh-CN"/>
        </w:rPr>
        <w:t>了试验</w:t>
      </w:r>
      <w:r>
        <w:rPr>
          <w:rFonts w:hint="eastAsia" w:ascii="Times New Roman" w:hAnsi="Times New Roman" w:eastAsia="仿宋_GB2312" w:cs="Times New Roman"/>
          <w:kern w:val="0"/>
          <w:sz w:val="32"/>
          <w:szCs w:val="32"/>
        </w:rPr>
        <w:t>研究，重点</w:t>
      </w:r>
      <w:r>
        <w:rPr>
          <w:rFonts w:hint="eastAsia" w:ascii="Times New Roman" w:hAnsi="Times New Roman" w:eastAsia="仿宋_GB2312" w:cs="Times New Roman"/>
          <w:kern w:val="0"/>
          <w:sz w:val="32"/>
          <w:szCs w:val="32"/>
          <w:lang w:eastAsia="zh-CN"/>
        </w:rPr>
        <w:t>开展了</w:t>
      </w:r>
      <w:r>
        <w:rPr>
          <w:rFonts w:hint="eastAsia" w:ascii="Times New Roman" w:hAnsi="Times New Roman" w:eastAsia="仿宋_GB2312" w:cs="Times New Roman"/>
          <w:kern w:val="0"/>
          <w:sz w:val="32"/>
          <w:szCs w:val="32"/>
        </w:rPr>
        <w:t>采收时期、预冷方式、整理分级、包装贮藏等关键环节试验，积累了大量的试验数据与技术成果，为团体标准制定奠定坚实基础。</w:t>
      </w:r>
    </w:p>
    <w:p w14:paraId="7F0EE80C">
      <w:pPr>
        <w:spacing w:line="360" w:lineRule="auto"/>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（二）成立起草小组</w:t>
      </w:r>
    </w:p>
    <w:p w14:paraId="614BFAE9">
      <w:pPr>
        <w:spacing w:line="360" w:lineRule="auto"/>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rPr>
        <w:t>本标准的编制工作从2025年3月</w:t>
      </w:r>
      <w:r>
        <w:rPr>
          <w:rFonts w:hint="eastAsia" w:ascii="Times New Roman" w:hAnsi="Times New Roman" w:eastAsia="仿宋_GB2312" w:cs="Times New Roman"/>
          <w:kern w:val="0"/>
          <w:sz w:val="32"/>
          <w:szCs w:val="32"/>
          <w:lang w:eastAsia="zh-CN"/>
        </w:rPr>
        <w:t>启动</w:t>
      </w:r>
      <w:r>
        <w:rPr>
          <w:rFonts w:hint="eastAsia" w:ascii="Times New Roman" w:hAnsi="Times New Roman" w:eastAsia="仿宋_GB2312" w:cs="Times New Roman"/>
          <w:kern w:val="0"/>
          <w:sz w:val="32"/>
          <w:szCs w:val="32"/>
        </w:rPr>
        <w:t>，由</w:t>
      </w:r>
      <w:r>
        <w:rPr>
          <w:rFonts w:hint="eastAsia" w:ascii="Times New Roman" w:hAnsi="Times New Roman" w:eastAsia="仿宋_GB2312" w:cs="Times New Roman"/>
          <w:kern w:val="0"/>
          <w:sz w:val="32"/>
          <w:szCs w:val="32"/>
          <w:lang w:eastAsia="zh-CN"/>
        </w:rPr>
        <w:t>西宁市蔬菜技术服务中心</w:t>
      </w:r>
      <w:r>
        <w:rPr>
          <w:rFonts w:hint="eastAsia" w:ascii="Times New Roman" w:hAnsi="Times New Roman" w:eastAsia="仿宋_GB2312" w:cs="Times New Roman"/>
          <w:kern w:val="0"/>
          <w:sz w:val="32"/>
          <w:szCs w:val="32"/>
        </w:rPr>
        <w:t>组织相关专业技术人员形成团体标准编制小组。标准立项后，编制小组立即开展甘蓝</w:t>
      </w:r>
      <w:r>
        <w:rPr>
          <w:rFonts w:hint="eastAsia" w:ascii="Times New Roman" w:hAnsi="Times New Roman" w:eastAsia="仿宋_GB2312" w:cs="Times New Roman"/>
          <w:kern w:val="0"/>
          <w:sz w:val="32"/>
          <w:szCs w:val="32"/>
          <w:lang w:eastAsia="zh-CN"/>
        </w:rPr>
        <w:t>类蔬菜采后</w:t>
      </w:r>
      <w:r>
        <w:rPr>
          <w:rFonts w:hint="eastAsia" w:ascii="Times New Roman" w:hAnsi="Times New Roman" w:eastAsia="仿宋_GB2312" w:cs="Times New Roman"/>
          <w:kern w:val="0"/>
          <w:sz w:val="32"/>
          <w:szCs w:val="32"/>
        </w:rPr>
        <w:t>商品化处理技术调研，以及国家标准、</w:t>
      </w:r>
      <w:r>
        <w:rPr>
          <w:rFonts w:hint="eastAsia" w:ascii="Times New Roman" w:hAnsi="Times New Roman" w:eastAsia="仿宋_GB2312" w:cs="Times New Roman"/>
          <w:kern w:val="0"/>
          <w:sz w:val="32"/>
          <w:szCs w:val="32"/>
          <w:lang w:eastAsia="zh-CN"/>
        </w:rPr>
        <w:t>行业标准、</w:t>
      </w:r>
      <w:r>
        <w:rPr>
          <w:rFonts w:hint="eastAsia" w:ascii="Times New Roman" w:hAnsi="Times New Roman" w:eastAsia="仿宋_GB2312" w:cs="Times New Roman"/>
          <w:kern w:val="0"/>
          <w:sz w:val="32"/>
          <w:szCs w:val="32"/>
        </w:rPr>
        <w:t>团体标准、地方标准查新工作，大量收集、整理、分析国内外相关技术资料，按团体标准制定要求分类梳理；同时深入青海海东、海南、西宁等主要甘蓝</w:t>
      </w:r>
      <w:r>
        <w:rPr>
          <w:rFonts w:hint="eastAsia" w:ascii="Times New Roman" w:hAnsi="Times New Roman" w:eastAsia="仿宋_GB2312" w:cs="Times New Roman"/>
          <w:kern w:val="0"/>
          <w:sz w:val="32"/>
          <w:szCs w:val="32"/>
          <w:lang w:eastAsia="zh-CN"/>
        </w:rPr>
        <w:t>类蔬菜</w:t>
      </w:r>
      <w:r>
        <w:rPr>
          <w:rFonts w:hint="eastAsia" w:ascii="Times New Roman" w:hAnsi="Times New Roman" w:eastAsia="仿宋_GB2312" w:cs="Times New Roman"/>
          <w:kern w:val="0"/>
          <w:sz w:val="32"/>
          <w:szCs w:val="32"/>
        </w:rPr>
        <w:t>产区开展实地调研，总结当地采后处理经验，确保标准具有广泛代表性与实用性</w:t>
      </w:r>
      <w:r>
        <w:rPr>
          <w:rFonts w:hint="eastAsia" w:ascii="Times New Roman" w:hAnsi="Times New Roman" w:eastAsia="仿宋_GB2312" w:cs="Times New Roman"/>
          <w:kern w:val="0"/>
          <w:sz w:val="32"/>
          <w:szCs w:val="32"/>
          <w:lang w:eastAsia="zh-CN"/>
        </w:rPr>
        <w:t>。</w:t>
      </w:r>
    </w:p>
    <w:p w14:paraId="49C66365">
      <w:pPr>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（三）明确编制提纲，确定标准框架</w:t>
      </w:r>
    </w:p>
    <w:p w14:paraId="4888542C">
      <w:pPr>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color w:val="000000" w:themeColor="text1"/>
          <w:kern w:val="0"/>
          <w:sz w:val="32"/>
          <w:szCs w:val="32"/>
          <w14:textFill>
            <w14:solidFill>
              <w14:schemeClr w14:val="tx1"/>
            </w14:solidFill>
          </w14:textFill>
        </w:rPr>
        <w:t>在拟订标准编制工作进度后，在2021</w:t>
      </w:r>
      <w:r>
        <w:rPr>
          <w:rFonts w:ascii="Times New Roman" w:hAnsi="Times New Roman" w:eastAsia="仿宋_GB2312" w:cs="Times New Roman"/>
          <w:kern w:val="0"/>
          <w:sz w:val="32"/>
          <w:szCs w:val="32"/>
        </w:rPr>
        <w:t>-</w:t>
      </w:r>
      <w:r>
        <w:rPr>
          <w:rFonts w:hint="eastAsia" w:ascii="Times New Roman" w:hAnsi="Times New Roman" w:eastAsia="仿宋_GB2312" w:cs="Times New Roman"/>
          <w:color w:val="000000" w:themeColor="text1"/>
          <w:kern w:val="0"/>
          <w:sz w:val="32"/>
          <w:szCs w:val="32"/>
          <w14:textFill>
            <w14:solidFill>
              <w14:schemeClr w14:val="tx1"/>
            </w14:solidFill>
          </w14:textFill>
        </w:rPr>
        <w:t>2024年开展了</w:t>
      </w:r>
      <w:r>
        <w:rPr>
          <w:rFonts w:hint="eastAsia" w:ascii="Times New Roman" w:hAnsi="Times New Roman" w:eastAsia="仿宋_GB2312" w:cs="Times New Roman"/>
          <w:kern w:val="0"/>
          <w:sz w:val="32"/>
          <w:szCs w:val="32"/>
          <w:lang w:eastAsia="zh-CN"/>
        </w:rPr>
        <w:t>甘蓝类蔬菜</w:t>
      </w:r>
      <w:r>
        <w:rPr>
          <w:rFonts w:hint="eastAsia" w:ascii="Times New Roman" w:hAnsi="Times New Roman" w:eastAsia="仿宋_GB2312" w:cs="Times New Roman"/>
          <w:kern w:val="0"/>
          <w:sz w:val="32"/>
          <w:szCs w:val="32"/>
        </w:rPr>
        <w:t>采后</w:t>
      </w:r>
      <w:r>
        <w:rPr>
          <w:rFonts w:hint="eastAsia" w:ascii="Times New Roman" w:hAnsi="Times New Roman" w:eastAsia="仿宋_GB2312" w:cs="Times New Roman"/>
          <w:kern w:val="0"/>
          <w:sz w:val="32"/>
          <w:szCs w:val="32"/>
          <w:lang w:eastAsia="zh-CN"/>
        </w:rPr>
        <w:t>包装、预冷</w:t>
      </w:r>
      <w:r>
        <w:rPr>
          <w:rFonts w:hint="eastAsia" w:ascii="Times New Roman" w:hAnsi="Times New Roman" w:eastAsia="仿宋_GB2312" w:cs="Times New Roman"/>
          <w:color w:val="000000" w:themeColor="text1"/>
          <w:kern w:val="0"/>
          <w:sz w:val="32"/>
          <w:szCs w:val="32"/>
          <w14:textFill>
            <w14:solidFill>
              <w14:schemeClr w14:val="tx1"/>
            </w14:solidFill>
          </w14:textFill>
        </w:rPr>
        <w:t>等方面的研究，</w:t>
      </w:r>
      <w:r>
        <w:rPr>
          <w:rFonts w:hint="eastAsia" w:ascii="Times New Roman" w:hAnsi="Times New Roman" w:eastAsia="仿宋_GB2312" w:cs="Times New Roman"/>
          <w:kern w:val="0"/>
          <w:sz w:val="32"/>
          <w:szCs w:val="32"/>
        </w:rPr>
        <w:t>最终总结出</w:t>
      </w:r>
      <w:r>
        <w:rPr>
          <w:rFonts w:hint="eastAsia" w:ascii="Times New Roman" w:hAnsi="Times New Roman" w:eastAsia="仿宋_GB2312" w:cs="Times New Roman"/>
          <w:kern w:val="0"/>
          <w:sz w:val="32"/>
          <w:szCs w:val="32"/>
          <w:lang w:eastAsia="zh-CN"/>
        </w:rPr>
        <w:t>甘蓝类蔬菜采后</w:t>
      </w:r>
      <w:r>
        <w:rPr>
          <w:rFonts w:hint="eastAsia" w:ascii="Times New Roman" w:hAnsi="Times New Roman" w:eastAsia="仿宋_GB2312" w:cs="Times New Roman"/>
          <w:kern w:val="0"/>
          <w:sz w:val="32"/>
          <w:szCs w:val="32"/>
        </w:rPr>
        <w:t>商品化处理</w:t>
      </w:r>
      <w:r>
        <w:rPr>
          <w:rFonts w:hint="eastAsia" w:ascii="Times New Roman" w:hAnsi="Times New Roman" w:eastAsia="仿宋_GB2312" w:cs="Times New Roman"/>
          <w:kern w:val="0"/>
          <w:sz w:val="32"/>
          <w:szCs w:val="32"/>
          <w:lang w:eastAsia="zh-CN"/>
        </w:rPr>
        <w:t>技术</w:t>
      </w:r>
      <w:r>
        <w:rPr>
          <w:rFonts w:hint="eastAsia" w:ascii="Times New Roman" w:hAnsi="Times New Roman" w:eastAsia="仿宋_GB2312" w:cs="Times New Roman"/>
          <w:kern w:val="0"/>
          <w:sz w:val="32"/>
          <w:szCs w:val="32"/>
        </w:rPr>
        <w:t>。制定小组通过认真研究讨论，提出了制定提纲，制定</w:t>
      </w:r>
      <w:r>
        <w:rPr>
          <w:rFonts w:hint="eastAsia" w:ascii="Times New Roman" w:hAnsi="Times New Roman" w:eastAsia="仿宋_GB2312" w:cs="Times New Roman"/>
          <w:kern w:val="0"/>
          <w:sz w:val="32"/>
          <w:szCs w:val="32"/>
          <w:lang w:eastAsia="zh-CN"/>
        </w:rPr>
        <w:t>了</w:t>
      </w:r>
      <w:r>
        <w:rPr>
          <w:rFonts w:hint="eastAsia" w:ascii="Times New Roman" w:hAnsi="Times New Roman" w:eastAsia="仿宋_GB2312" w:cs="Times New Roman"/>
          <w:kern w:val="0"/>
          <w:sz w:val="32"/>
          <w:szCs w:val="32"/>
        </w:rPr>
        <w:t>规范的框架。</w:t>
      </w:r>
    </w:p>
    <w:p w14:paraId="6D3F5AC5">
      <w:pPr>
        <w:ind w:firstLine="640" w:firstLineChars="200"/>
        <w:rPr>
          <w:rFonts w:ascii="Times New Roman" w:hAnsi="Times New Roman" w:eastAsia="仿宋_GB2312" w:cs="Times New Roman"/>
          <w:kern w:val="0"/>
          <w:sz w:val="32"/>
          <w:szCs w:val="32"/>
        </w:rPr>
      </w:pPr>
      <w:bookmarkStart w:id="0" w:name="OLE_LINK12"/>
      <w:bookmarkStart w:id="1" w:name="OLE_LINK13"/>
      <w:r>
        <w:rPr>
          <w:rFonts w:hint="eastAsia" w:ascii="Times New Roman" w:hAnsi="Times New Roman" w:eastAsia="楷体_GB2312" w:cs="Times New Roman"/>
          <w:sz w:val="32"/>
          <w:szCs w:val="32"/>
        </w:rPr>
        <w:t>（四）起草标准文本，征求意见并形成标准</w:t>
      </w:r>
      <w:r>
        <w:rPr>
          <w:rFonts w:hint="eastAsia" w:ascii="Times New Roman" w:hAnsi="Times New Roman" w:eastAsia="楷体_GB2312" w:cs="Times New Roman"/>
          <w:sz w:val="32"/>
          <w:szCs w:val="32"/>
          <w:lang w:eastAsia="zh-CN"/>
        </w:rPr>
        <w:t>送</w:t>
      </w:r>
      <w:r>
        <w:rPr>
          <w:rFonts w:hint="eastAsia" w:ascii="Times New Roman" w:hAnsi="Times New Roman" w:eastAsia="楷体_GB2312" w:cs="Times New Roman"/>
          <w:sz w:val="32"/>
          <w:szCs w:val="32"/>
        </w:rPr>
        <w:t>审稿</w:t>
      </w:r>
    </w:p>
    <w:bookmarkEnd w:id="0"/>
    <w:bookmarkEnd w:id="1"/>
    <w:p w14:paraId="5018E9ED">
      <w:pPr>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2025年4月，起草人员深入学习GB/T 1.1-2020《标准化工作导则》</w:t>
      </w:r>
      <w:r>
        <w:rPr>
          <w:rFonts w:hint="eastAsia" w:ascii="Times New Roman" w:hAnsi="Times New Roman" w:eastAsia="仿宋_GB2312" w:cs="Times New Roman"/>
          <w:kern w:val="0"/>
          <w:sz w:val="32"/>
          <w:szCs w:val="32"/>
          <w:lang w:eastAsia="zh-CN"/>
        </w:rPr>
        <w:t>第一部分</w:t>
      </w:r>
      <w:r>
        <w:rPr>
          <w:rFonts w:hint="eastAsia" w:ascii="Times New Roman" w:hAnsi="Times New Roman" w:eastAsia="仿宋_GB2312" w:cs="Times New Roman"/>
          <w:kern w:val="0"/>
          <w:sz w:val="32"/>
          <w:szCs w:val="32"/>
        </w:rPr>
        <w:t>等文件，熟练掌握标准格式、内容及术语表达方式，起草完成《</w:t>
      </w:r>
      <w:r>
        <w:rPr>
          <w:rFonts w:hint="eastAsia" w:ascii="Times New Roman" w:hAnsi="Times New Roman" w:eastAsia="仿宋_GB2312" w:cs="Times New Roman"/>
          <w:kern w:val="0"/>
          <w:sz w:val="32"/>
          <w:szCs w:val="32"/>
          <w:lang w:eastAsia="zh-CN"/>
        </w:rPr>
        <w:t>甘蓝类蔬菜</w:t>
      </w:r>
      <w:r>
        <w:rPr>
          <w:rFonts w:hint="eastAsia" w:ascii="Times New Roman" w:hAnsi="Times New Roman" w:eastAsia="仿宋_GB2312" w:cs="Times New Roman"/>
          <w:kern w:val="0"/>
          <w:sz w:val="32"/>
          <w:szCs w:val="32"/>
          <w:lang w:val="en-US" w:eastAsia="zh-CN"/>
        </w:rPr>
        <w:t xml:space="preserve"> </w:t>
      </w:r>
      <w:r>
        <w:rPr>
          <w:rFonts w:hint="eastAsia" w:ascii="Times New Roman" w:hAnsi="Times New Roman" w:eastAsia="仿宋_GB2312" w:cs="Times New Roman"/>
          <w:kern w:val="0"/>
          <w:sz w:val="32"/>
          <w:szCs w:val="32"/>
          <w:lang w:eastAsia="zh-CN"/>
        </w:rPr>
        <w:t>采后</w:t>
      </w:r>
      <w:r>
        <w:rPr>
          <w:rFonts w:hint="eastAsia" w:ascii="Times New Roman" w:hAnsi="Times New Roman" w:eastAsia="仿宋_GB2312" w:cs="Times New Roman"/>
          <w:kern w:val="0"/>
          <w:sz w:val="32"/>
          <w:szCs w:val="32"/>
        </w:rPr>
        <w:t>商品化处理技术规</w:t>
      </w:r>
      <w:r>
        <w:rPr>
          <w:rFonts w:hint="eastAsia" w:ascii="Times New Roman" w:hAnsi="Times New Roman" w:eastAsia="仿宋_GB2312" w:cs="Times New Roman"/>
          <w:kern w:val="0"/>
          <w:sz w:val="32"/>
          <w:szCs w:val="32"/>
          <w:lang w:eastAsia="zh-CN"/>
        </w:rPr>
        <w:t>范</w:t>
      </w:r>
      <w:r>
        <w:rPr>
          <w:rFonts w:hint="eastAsia" w:ascii="Times New Roman" w:hAnsi="Times New Roman" w:eastAsia="仿宋_GB2312" w:cs="Times New Roman"/>
          <w:kern w:val="0"/>
          <w:sz w:val="32"/>
          <w:szCs w:val="32"/>
        </w:rPr>
        <w:t>》团体标准初稿。2025年5月，起草小组成员依据试验研究、验证及示范结果，对标准草案进行多次修改完善，形成团体标准征求意见稿。2025年10-12月，完成征求意见工作，广泛征求青海省农业生产、科研、推广单位及行业专家意见。在此基础上，梳理汇总专家意见，共形成</w:t>
      </w:r>
      <w:r>
        <w:rPr>
          <w:rFonts w:hint="eastAsia" w:ascii="Times New Roman" w:hAnsi="Times New Roman" w:eastAsia="仿宋_GB2312" w:cs="Times New Roman"/>
          <w:kern w:val="0"/>
          <w:sz w:val="32"/>
          <w:szCs w:val="32"/>
          <w:highlight w:val="none"/>
        </w:rPr>
        <w:t xml:space="preserve"> </w:t>
      </w:r>
      <w:r>
        <w:rPr>
          <w:rFonts w:hint="eastAsia" w:ascii="Times New Roman" w:hAnsi="Times New Roman" w:eastAsia="仿宋_GB2312" w:cs="Times New Roman"/>
          <w:kern w:val="0"/>
          <w:sz w:val="32"/>
          <w:szCs w:val="32"/>
          <w:highlight w:val="none"/>
          <w:lang w:val="en-US" w:eastAsia="zh-CN"/>
        </w:rPr>
        <w:t>6</w:t>
      </w:r>
      <w:r>
        <w:rPr>
          <w:rFonts w:hint="eastAsia" w:ascii="Times New Roman" w:hAnsi="Times New Roman" w:eastAsia="仿宋_GB2312" w:cs="Times New Roman"/>
          <w:kern w:val="0"/>
          <w:sz w:val="32"/>
          <w:szCs w:val="32"/>
          <w:highlight w:val="none"/>
        </w:rPr>
        <w:t xml:space="preserve"> </w:t>
      </w:r>
      <w:r>
        <w:rPr>
          <w:rFonts w:hint="eastAsia" w:ascii="Times New Roman" w:hAnsi="Times New Roman" w:eastAsia="仿宋_GB2312" w:cs="Times New Roman"/>
          <w:kern w:val="0"/>
          <w:sz w:val="32"/>
          <w:szCs w:val="32"/>
        </w:rPr>
        <w:t>条修改意见，无重大意见分歧</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具体见附件1，并按专家意见对标准进行认真修改，最终形成《白菜类蔬菜  黄萎病室内抗性鉴定技术规程》团体标准送审稿。2026年4月15日，青海省农学会组织专家召开团体标准技术审查会，共征集意见建议？条，具体见附件2。</w:t>
      </w:r>
    </w:p>
    <w:p w14:paraId="30B9C9C7">
      <w:pPr>
        <w:spacing w:before="156" w:beforeLines="50" w:after="156" w:afterLines="50"/>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四、制定（修订）标准的原则和依据，与现行法律、法规、标准的关系(必要项)</w:t>
      </w:r>
    </w:p>
    <w:p w14:paraId="69A6D671">
      <w:pPr>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（一）制定原则</w:t>
      </w:r>
    </w:p>
    <w:p w14:paraId="6F550E48">
      <w:pPr>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本标准的整个起草过程严格按照工作计划进行，并遵循“科学性、合理性、先进性、实用性、普遍性”原则。</w:t>
      </w:r>
    </w:p>
    <w:p w14:paraId="3F0FF5FB">
      <w:pPr>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（二）制定依据</w:t>
      </w:r>
    </w:p>
    <w:p w14:paraId="10A2DEE3">
      <w:pPr>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本标准严格遵循GB/T 1.1-2020《标准化工作导则  第1部分：标准化文件的结构和起草规则》、GB/T 20001.6-2017《标准编写规则  第6部分：规程标准》以及《青海省农学会团体标准管理办法》制定。</w:t>
      </w:r>
    </w:p>
    <w:p w14:paraId="5C82C82C">
      <w:pPr>
        <w:ind w:firstLine="640" w:firstLineChars="200"/>
        <w:rPr>
          <w:rFonts w:ascii="Times New Roman" w:hAnsi="Times New Roman" w:eastAsia="仿宋_GB2312" w:cs="Times New Roman"/>
          <w:kern w:val="0"/>
          <w:sz w:val="32"/>
          <w:szCs w:val="32"/>
        </w:rPr>
      </w:pPr>
      <w:r>
        <w:rPr>
          <w:rFonts w:hint="eastAsia" w:ascii="Times New Roman" w:hAnsi="Times New Roman" w:eastAsia="楷体_GB2312" w:cs="Times New Roman"/>
          <w:sz w:val="32"/>
          <w:szCs w:val="32"/>
        </w:rPr>
        <w:t>（三）与现行法律、法规、标准的关系</w:t>
      </w:r>
    </w:p>
    <w:p w14:paraId="7DB80029">
      <w:pPr>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本标准与现行法律、法规、标准无冲突。</w:t>
      </w:r>
    </w:p>
    <w:p w14:paraId="0356164D">
      <w:pPr>
        <w:numPr>
          <w:ilvl w:val="0"/>
          <w:numId w:val="0"/>
        </w:numPr>
        <w:spacing w:line="360" w:lineRule="auto"/>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kern w:val="2"/>
          <w:sz w:val="32"/>
          <w:szCs w:val="32"/>
          <w:lang w:val="en-US" w:eastAsia="zh-CN" w:bidi="ar-SA"/>
        </w:rPr>
        <w:t>五、</w:t>
      </w:r>
      <w:r>
        <w:rPr>
          <w:rFonts w:hint="eastAsia" w:ascii="Times New Roman" w:hAnsi="Times New Roman" w:eastAsia="黑体" w:cs="Times New Roman"/>
          <w:sz w:val="32"/>
          <w:szCs w:val="32"/>
        </w:rPr>
        <w:t>主要条款的说明</w:t>
      </w:r>
    </w:p>
    <w:p w14:paraId="1D41201E">
      <w:pPr>
        <w:numPr>
          <w:ilvl w:val="0"/>
          <w:numId w:val="0"/>
        </w:numPr>
        <w:spacing w:line="360" w:lineRule="auto"/>
        <w:ind w:firstLine="640" w:firstLineChars="200"/>
        <w:rPr>
          <w:rFonts w:hint="eastAsia" w:ascii="Times New Roman" w:hAnsi="Times New Roman" w:eastAsia="楷体_GB2312" w:cs="Times New Roman"/>
          <w:sz w:val="32"/>
          <w:szCs w:val="32"/>
          <w:lang w:eastAsia="zh-CN"/>
        </w:rPr>
      </w:pPr>
      <w:r>
        <w:rPr>
          <w:rFonts w:hint="eastAsia" w:ascii="Times New Roman" w:hAnsi="Times New Roman" w:eastAsia="楷体_GB2312" w:cs="Times New Roman"/>
          <w:sz w:val="32"/>
          <w:szCs w:val="32"/>
          <w:lang w:val="en-US" w:eastAsia="zh-CN"/>
        </w:rPr>
        <w:t>5.1</w:t>
      </w:r>
      <w:r>
        <w:rPr>
          <w:rFonts w:hint="eastAsia" w:ascii="Times New Roman" w:hAnsi="Times New Roman" w:eastAsia="楷体_GB2312" w:cs="Times New Roman"/>
          <w:sz w:val="32"/>
          <w:szCs w:val="32"/>
          <w:lang w:eastAsia="zh-CN"/>
        </w:rPr>
        <w:t>不同采收时间对甘蓝品质的影响</w:t>
      </w:r>
    </w:p>
    <w:p w14:paraId="383A3270">
      <w:pPr>
        <w:spacing w:line="360" w:lineRule="auto"/>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 w:cs="Times New Roman"/>
          <w:kern w:val="0"/>
          <w:sz w:val="32"/>
          <w:szCs w:val="32"/>
          <w:lang w:val="en-US" w:eastAsia="zh-CN"/>
        </w:rPr>
        <w:t xml:space="preserve">5.1.1 </w:t>
      </w:r>
      <w:r>
        <w:rPr>
          <w:rFonts w:hint="eastAsia" w:ascii="Times New Roman" w:hAnsi="Times New Roman" w:eastAsia="仿宋_GB2312" w:cs="Times New Roman"/>
          <w:kern w:val="0"/>
          <w:sz w:val="32"/>
          <w:szCs w:val="32"/>
          <w:lang w:val="en-US" w:eastAsia="zh-CN"/>
        </w:rPr>
        <w:t>试验材料</w:t>
      </w:r>
    </w:p>
    <w:p w14:paraId="6641C8AF">
      <w:pPr>
        <w:spacing w:line="360" w:lineRule="auto"/>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试验品种中甘15，产品达到商品成熟标准，即叶球紧实度≥85%、单球重1.2 kg-1.5 kg。</w:t>
      </w:r>
    </w:p>
    <w:p w14:paraId="7A63FF4A">
      <w:pPr>
        <w:spacing w:line="360" w:lineRule="auto"/>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 w:cs="Times New Roman"/>
          <w:kern w:val="0"/>
          <w:sz w:val="32"/>
          <w:szCs w:val="32"/>
          <w:lang w:val="en-US" w:eastAsia="zh-CN"/>
        </w:rPr>
        <w:t xml:space="preserve">5.1.2 </w:t>
      </w:r>
      <w:r>
        <w:rPr>
          <w:rFonts w:hint="eastAsia" w:ascii="Times New Roman" w:hAnsi="Times New Roman" w:eastAsia="仿宋_GB2312" w:cs="Times New Roman"/>
          <w:kern w:val="0"/>
          <w:sz w:val="32"/>
          <w:szCs w:val="32"/>
          <w:lang w:val="en-US" w:eastAsia="zh-CN"/>
        </w:rPr>
        <w:t>采收时间</w:t>
      </w:r>
    </w:p>
    <w:p w14:paraId="7E8217F5">
      <w:pPr>
        <w:spacing w:line="360" w:lineRule="auto"/>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采收时间为早晨7:30-10:00、中午12:30-15:00、晚上18:30-9:00。每组随机选取3组重复样本。</w:t>
      </w:r>
    </w:p>
    <w:p w14:paraId="7781D8AB">
      <w:pPr>
        <w:spacing w:line="360" w:lineRule="auto"/>
        <w:ind w:firstLine="640" w:firstLineChars="200"/>
        <w:rPr>
          <w:rFonts w:hint="eastAsia" w:ascii="Times New Roman" w:hAnsi="Times New Roman" w:eastAsia="仿宋" w:cs="Times New Roman"/>
          <w:kern w:val="0"/>
          <w:sz w:val="32"/>
          <w:szCs w:val="32"/>
          <w:lang w:eastAsia="zh-CN"/>
        </w:rPr>
      </w:pPr>
      <w:r>
        <w:rPr>
          <w:rFonts w:hint="eastAsia" w:ascii="Times New Roman" w:hAnsi="Times New Roman" w:eastAsia="仿宋" w:cs="Times New Roman"/>
          <w:kern w:val="0"/>
          <w:sz w:val="32"/>
          <w:szCs w:val="32"/>
          <w:lang w:val="en-US" w:eastAsia="zh-CN"/>
        </w:rPr>
        <w:t xml:space="preserve">5.1.3 </w:t>
      </w:r>
      <w:r>
        <w:rPr>
          <w:rFonts w:hint="eastAsia" w:ascii="Times New Roman" w:hAnsi="Times New Roman" w:eastAsia="仿宋_GB2312" w:cs="Times New Roman"/>
          <w:kern w:val="0"/>
          <w:sz w:val="32"/>
          <w:szCs w:val="32"/>
          <w:lang w:val="en-US" w:eastAsia="zh-CN"/>
        </w:rPr>
        <w:t>田间采样与基础数据测定</w:t>
      </w:r>
    </w:p>
    <w:p w14:paraId="2A725CD4">
      <w:pPr>
        <w:spacing w:line="360" w:lineRule="auto"/>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 w:cs="Times New Roman"/>
          <w:kern w:val="0"/>
          <w:sz w:val="32"/>
          <w:szCs w:val="32"/>
          <w:lang w:eastAsia="zh-CN"/>
        </w:rPr>
        <w:t>（</w:t>
      </w:r>
      <w:r>
        <w:rPr>
          <w:rFonts w:hint="eastAsia" w:ascii="Times New Roman" w:hAnsi="Times New Roman" w:eastAsia="仿宋" w:cs="Times New Roman"/>
          <w:kern w:val="0"/>
          <w:sz w:val="32"/>
          <w:szCs w:val="32"/>
          <w:lang w:val="en-US" w:eastAsia="zh-CN"/>
        </w:rPr>
        <w:t>1）</w:t>
      </w:r>
      <w:r>
        <w:rPr>
          <w:rFonts w:hint="eastAsia" w:ascii="Times New Roman" w:hAnsi="Times New Roman" w:eastAsia="仿宋_GB2312" w:cs="Times New Roman"/>
          <w:kern w:val="0"/>
          <w:sz w:val="32"/>
          <w:szCs w:val="32"/>
          <w:lang w:val="en-US" w:eastAsia="zh-CN"/>
        </w:rPr>
        <w:t>水分含量</w:t>
      </w:r>
    </w:p>
    <w:p w14:paraId="249A9BFD">
      <w:pPr>
        <w:spacing w:line="360" w:lineRule="auto"/>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从每个样本叶球中部取50 g均匀组织，切成1 cm</w:t>
      </w:r>
      <w:r>
        <w:rPr>
          <w:rFonts w:hint="eastAsia" w:ascii="Times New Roman" w:hAnsi="Times New Roman" w:eastAsia="仿宋_GB2312" w:cs="Times New Roman"/>
          <w:kern w:val="0"/>
          <w:sz w:val="32"/>
          <w:szCs w:val="32"/>
          <w:vertAlign w:val="superscript"/>
          <w:lang w:val="en-US" w:eastAsia="zh-CN"/>
        </w:rPr>
        <w:t>3</w:t>
      </w:r>
      <w:r>
        <w:rPr>
          <w:rFonts w:hint="eastAsia" w:ascii="Times New Roman" w:hAnsi="Times New Roman" w:eastAsia="仿宋_GB2312" w:cs="Times New Roman"/>
          <w:kern w:val="0"/>
          <w:sz w:val="32"/>
          <w:szCs w:val="32"/>
          <w:lang w:val="en-US" w:eastAsia="zh-CN"/>
        </w:rPr>
        <w:t>小块，放入已称重的铝盒（记为W1），在105℃条件下烘干至恒重，冷却后称重（记为W2），按公式“水分含量（%）=（50-（W2-W1））/50×100”计算。</w:t>
      </w:r>
    </w:p>
    <w:p w14:paraId="1F3F6E30">
      <w:pPr>
        <w:spacing w:line="360" w:lineRule="auto"/>
        <w:ind w:firstLine="640" w:firstLineChars="200"/>
        <w:rPr>
          <w:rFonts w:hint="eastAsia" w:ascii="Times New Roman" w:hAnsi="Times New Roman" w:eastAsia="仿宋" w:cs="Times New Roman"/>
          <w:kern w:val="0"/>
          <w:sz w:val="32"/>
          <w:szCs w:val="32"/>
          <w:lang w:eastAsia="zh-CN"/>
        </w:rPr>
      </w:pPr>
      <w:r>
        <w:rPr>
          <w:rFonts w:hint="eastAsia" w:ascii="Times New Roman" w:hAnsi="Times New Roman" w:eastAsia="仿宋" w:cs="Times New Roman"/>
          <w:kern w:val="0"/>
          <w:sz w:val="32"/>
          <w:szCs w:val="32"/>
          <w:lang w:val="en-US" w:eastAsia="zh-CN"/>
        </w:rPr>
        <w:t>（2）</w:t>
      </w:r>
      <w:r>
        <w:rPr>
          <w:rFonts w:hint="eastAsia" w:ascii="Times New Roman" w:hAnsi="Times New Roman" w:eastAsia="仿宋" w:cs="Times New Roman"/>
          <w:kern w:val="0"/>
          <w:sz w:val="32"/>
          <w:szCs w:val="32"/>
          <w:lang w:eastAsia="zh-CN"/>
        </w:rPr>
        <w:t>可溶性糖</w:t>
      </w:r>
    </w:p>
    <w:p w14:paraId="0D7215DF">
      <w:pPr>
        <w:spacing w:line="360" w:lineRule="auto"/>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采用蒽酮比色法测定。取10 g样本打匀，加入50 mL蒸馏水煮沸30 min，过滤后定容至100 mL；取2 mL滤液加入蒽酮试剂，在100℃沸水浴中加热10 min，冷却后测定620 nm波长处的吸光度，对照标准曲线计算可溶性糖含量。</w:t>
      </w:r>
    </w:p>
    <w:p w14:paraId="6B468834">
      <w:pPr>
        <w:spacing w:line="360" w:lineRule="auto"/>
        <w:ind w:firstLine="640" w:firstLineChars="200"/>
        <w:rPr>
          <w:rFonts w:hint="eastAsia" w:ascii="Times New Roman" w:hAnsi="Times New Roman" w:eastAsia="仿宋" w:cs="Times New Roman"/>
          <w:kern w:val="0"/>
          <w:sz w:val="32"/>
          <w:szCs w:val="32"/>
          <w:lang w:eastAsia="zh-CN"/>
        </w:rPr>
      </w:pPr>
      <w:r>
        <w:rPr>
          <w:rFonts w:hint="eastAsia" w:ascii="Times New Roman" w:hAnsi="Times New Roman" w:eastAsia="仿宋" w:cs="Times New Roman"/>
          <w:kern w:val="0"/>
          <w:sz w:val="32"/>
          <w:szCs w:val="32"/>
          <w:lang w:eastAsia="zh-CN"/>
        </w:rPr>
        <w:t>（</w:t>
      </w:r>
      <w:r>
        <w:rPr>
          <w:rFonts w:hint="eastAsia" w:ascii="Times New Roman" w:hAnsi="Times New Roman" w:eastAsia="仿宋" w:cs="Times New Roman"/>
          <w:kern w:val="0"/>
          <w:sz w:val="32"/>
          <w:szCs w:val="32"/>
          <w:lang w:val="en-US" w:eastAsia="zh-CN"/>
        </w:rPr>
        <w:t>3）</w:t>
      </w:r>
      <w:r>
        <w:rPr>
          <w:rFonts w:hint="eastAsia" w:ascii="Times New Roman" w:hAnsi="Times New Roman" w:eastAsia="仿宋" w:cs="Times New Roman"/>
          <w:kern w:val="0"/>
          <w:sz w:val="32"/>
          <w:szCs w:val="32"/>
          <w:lang w:eastAsia="zh-CN"/>
        </w:rPr>
        <w:t>维生素C</w:t>
      </w:r>
    </w:p>
    <w:p w14:paraId="23920DD5">
      <w:pPr>
        <w:spacing w:line="360" w:lineRule="auto"/>
        <w:ind w:firstLine="640" w:firstLineChars="200"/>
        <w:rPr>
          <w:rFonts w:hint="eastAsia" w:ascii="Times New Roman" w:hAnsi="Times New Roman" w:eastAsia="仿宋" w:cs="Times New Roman"/>
          <w:kern w:val="0"/>
          <w:sz w:val="32"/>
          <w:szCs w:val="32"/>
          <w:lang w:eastAsia="zh-CN"/>
        </w:rPr>
      </w:pPr>
      <w:r>
        <w:rPr>
          <w:rFonts w:hint="eastAsia" w:ascii="Times New Roman" w:hAnsi="Times New Roman" w:eastAsia="仿宋" w:cs="Times New Roman"/>
          <w:kern w:val="0"/>
          <w:sz w:val="32"/>
          <w:szCs w:val="32"/>
          <w:lang w:eastAsia="zh-CN"/>
        </w:rPr>
        <w:t>采用2,6-二氯靛酚滴定法测定。取20</w:t>
      </w:r>
      <w:r>
        <w:rPr>
          <w:rFonts w:hint="eastAsia" w:ascii="Times New Roman" w:hAnsi="Times New Roman" w:eastAsia="仿宋" w:cs="Times New Roman"/>
          <w:kern w:val="0"/>
          <w:sz w:val="32"/>
          <w:szCs w:val="32"/>
          <w:lang w:val="en-US" w:eastAsia="zh-CN"/>
        </w:rPr>
        <w:t xml:space="preserve"> </w:t>
      </w:r>
      <w:r>
        <w:rPr>
          <w:rFonts w:hint="eastAsia" w:ascii="Times New Roman" w:hAnsi="Times New Roman" w:eastAsia="仿宋" w:cs="Times New Roman"/>
          <w:kern w:val="0"/>
          <w:sz w:val="32"/>
          <w:szCs w:val="32"/>
          <w:lang w:eastAsia="zh-CN"/>
        </w:rPr>
        <w:t>g样本加入10</w:t>
      </w:r>
      <w:r>
        <w:rPr>
          <w:rFonts w:hint="eastAsia" w:ascii="Times New Roman" w:hAnsi="Times New Roman" w:eastAsia="仿宋" w:cs="Times New Roman"/>
          <w:kern w:val="0"/>
          <w:sz w:val="32"/>
          <w:szCs w:val="32"/>
          <w:lang w:val="en-US" w:eastAsia="zh-CN"/>
        </w:rPr>
        <w:t xml:space="preserve"> </w:t>
      </w:r>
      <w:r>
        <w:rPr>
          <w:rFonts w:hint="eastAsia" w:ascii="Times New Roman" w:hAnsi="Times New Roman" w:eastAsia="仿宋" w:cs="Times New Roman"/>
          <w:kern w:val="0"/>
          <w:sz w:val="32"/>
          <w:szCs w:val="32"/>
          <w:lang w:eastAsia="zh-CN"/>
        </w:rPr>
        <w:t>mL 2%草酸打浆，过滤后定容至100</w:t>
      </w:r>
      <w:r>
        <w:rPr>
          <w:rFonts w:hint="eastAsia" w:ascii="Times New Roman" w:hAnsi="Times New Roman" w:eastAsia="仿宋" w:cs="Times New Roman"/>
          <w:kern w:val="0"/>
          <w:sz w:val="32"/>
          <w:szCs w:val="32"/>
          <w:lang w:val="en-US" w:eastAsia="zh-CN"/>
        </w:rPr>
        <w:t xml:space="preserve"> </w:t>
      </w:r>
      <w:r>
        <w:rPr>
          <w:rFonts w:hint="eastAsia" w:ascii="Times New Roman" w:hAnsi="Times New Roman" w:eastAsia="仿宋" w:cs="Times New Roman"/>
          <w:kern w:val="0"/>
          <w:sz w:val="32"/>
          <w:szCs w:val="32"/>
          <w:lang w:eastAsia="zh-CN"/>
        </w:rPr>
        <w:t>mL；取10</w:t>
      </w:r>
      <w:r>
        <w:rPr>
          <w:rFonts w:hint="eastAsia" w:ascii="Times New Roman" w:hAnsi="Times New Roman" w:eastAsia="仿宋" w:cs="Times New Roman"/>
          <w:kern w:val="0"/>
          <w:sz w:val="32"/>
          <w:szCs w:val="32"/>
          <w:lang w:val="en-US" w:eastAsia="zh-CN"/>
        </w:rPr>
        <w:t xml:space="preserve"> </w:t>
      </w:r>
      <w:r>
        <w:rPr>
          <w:rFonts w:hint="eastAsia" w:ascii="Times New Roman" w:hAnsi="Times New Roman" w:eastAsia="仿宋" w:cs="Times New Roman"/>
          <w:kern w:val="0"/>
          <w:sz w:val="32"/>
          <w:szCs w:val="32"/>
          <w:lang w:eastAsia="zh-CN"/>
        </w:rPr>
        <w:t>mL滤液，用0.001</w:t>
      </w:r>
      <w:r>
        <w:rPr>
          <w:rFonts w:hint="eastAsia" w:ascii="Times New Roman" w:hAnsi="Times New Roman" w:eastAsia="仿宋" w:cs="Times New Roman"/>
          <w:kern w:val="0"/>
          <w:sz w:val="32"/>
          <w:szCs w:val="32"/>
          <w:lang w:val="en-US" w:eastAsia="zh-CN"/>
        </w:rPr>
        <w:t xml:space="preserve"> </w:t>
      </w:r>
      <w:r>
        <w:rPr>
          <w:rFonts w:hint="eastAsia" w:ascii="Times New Roman" w:hAnsi="Times New Roman" w:eastAsia="仿宋" w:cs="Times New Roman"/>
          <w:kern w:val="0"/>
          <w:sz w:val="32"/>
          <w:szCs w:val="32"/>
          <w:lang w:eastAsia="zh-CN"/>
        </w:rPr>
        <w:t>mol/L 2,6-二氯靛酚溶液滴定，直至溶液呈粉红色且1</w:t>
      </w:r>
      <w:r>
        <w:rPr>
          <w:rFonts w:hint="eastAsia" w:ascii="Times New Roman" w:hAnsi="Times New Roman" w:eastAsia="仿宋" w:cs="Times New Roman"/>
          <w:kern w:val="0"/>
          <w:sz w:val="32"/>
          <w:szCs w:val="32"/>
          <w:lang w:val="en-US" w:eastAsia="zh-CN"/>
        </w:rPr>
        <w:t xml:space="preserve"> min</w:t>
      </w:r>
      <w:r>
        <w:rPr>
          <w:rFonts w:hint="eastAsia" w:ascii="Times New Roman" w:hAnsi="Times New Roman" w:eastAsia="仿宋" w:cs="Times New Roman"/>
          <w:kern w:val="0"/>
          <w:sz w:val="32"/>
          <w:szCs w:val="32"/>
          <w:lang w:eastAsia="zh-CN"/>
        </w:rPr>
        <w:t>内不褪色，记录消耗溶液体积，计算维生素C含量。</w:t>
      </w:r>
    </w:p>
    <w:p w14:paraId="1C361F43">
      <w:pPr>
        <w:spacing w:line="360" w:lineRule="auto"/>
        <w:ind w:firstLine="640" w:firstLineChars="200"/>
        <w:rPr>
          <w:rFonts w:hint="eastAsia" w:ascii="Times New Roman" w:hAnsi="Times New Roman" w:eastAsia="仿宋" w:cs="Times New Roman"/>
          <w:kern w:val="0"/>
          <w:sz w:val="32"/>
          <w:szCs w:val="32"/>
          <w:lang w:eastAsia="zh-CN"/>
        </w:rPr>
      </w:pPr>
      <w:r>
        <w:rPr>
          <w:rFonts w:hint="eastAsia" w:ascii="Times New Roman" w:hAnsi="Times New Roman" w:eastAsia="仿宋" w:cs="Times New Roman"/>
          <w:kern w:val="0"/>
          <w:sz w:val="32"/>
          <w:szCs w:val="32"/>
          <w:lang w:eastAsia="zh-CN"/>
        </w:rPr>
        <w:t>（</w:t>
      </w:r>
      <w:r>
        <w:rPr>
          <w:rFonts w:hint="eastAsia" w:ascii="Times New Roman" w:hAnsi="Times New Roman" w:eastAsia="仿宋" w:cs="Times New Roman"/>
          <w:kern w:val="0"/>
          <w:sz w:val="32"/>
          <w:szCs w:val="32"/>
          <w:lang w:val="en-US" w:eastAsia="zh-CN"/>
        </w:rPr>
        <w:t>4）</w:t>
      </w:r>
      <w:r>
        <w:rPr>
          <w:rFonts w:hint="eastAsia" w:ascii="Times New Roman" w:hAnsi="Times New Roman" w:eastAsia="仿宋" w:cs="Times New Roman"/>
          <w:kern w:val="0"/>
          <w:sz w:val="32"/>
          <w:szCs w:val="32"/>
          <w:lang w:eastAsia="zh-CN"/>
        </w:rPr>
        <w:t>有机酸</w:t>
      </w:r>
    </w:p>
    <w:p w14:paraId="3F7D3D72">
      <w:pPr>
        <w:spacing w:line="360" w:lineRule="auto"/>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采用酸碱滴定法测定。取10</w:t>
      </w:r>
      <w:r>
        <w:rPr>
          <w:rFonts w:hint="eastAsia" w:ascii="Times New Roman" w:hAnsi="Times New Roman" w:eastAsia="仿宋_GB2312" w:cs="Times New Roman"/>
          <w:kern w:val="0"/>
          <w:sz w:val="32"/>
          <w:szCs w:val="32"/>
          <w:lang w:val="en-US" w:eastAsia="zh-CN"/>
        </w:rPr>
        <w:t xml:space="preserve"> </w:t>
      </w:r>
      <w:r>
        <w:rPr>
          <w:rFonts w:hint="eastAsia" w:ascii="Times New Roman" w:hAnsi="Times New Roman" w:eastAsia="仿宋_GB2312" w:cs="Times New Roman"/>
          <w:kern w:val="0"/>
          <w:sz w:val="32"/>
          <w:szCs w:val="32"/>
          <w:lang w:eastAsia="zh-CN"/>
        </w:rPr>
        <w:t>g样本打匀，加入50</w:t>
      </w:r>
      <w:r>
        <w:rPr>
          <w:rFonts w:hint="eastAsia" w:ascii="Times New Roman" w:hAnsi="Times New Roman" w:eastAsia="仿宋_GB2312" w:cs="Times New Roman"/>
          <w:kern w:val="0"/>
          <w:sz w:val="32"/>
          <w:szCs w:val="32"/>
          <w:lang w:val="en-US" w:eastAsia="zh-CN"/>
        </w:rPr>
        <w:t xml:space="preserve"> </w:t>
      </w:r>
      <w:r>
        <w:rPr>
          <w:rFonts w:hint="eastAsia" w:ascii="Times New Roman" w:hAnsi="Times New Roman" w:eastAsia="仿宋_GB2312" w:cs="Times New Roman"/>
          <w:kern w:val="0"/>
          <w:sz w:val="32"/>
          <w:szCs w:val="32"/>
          <w:lang w:eastAsia="zh-CN"/>
        </w:rPr>
        <w:t>mL蒸馏水浸泡30</w:t>
      </w:r>
      <w:r>
        <w:rPr>
          <w:rFonts w:hint="eastAsia" w:ascii="Times New Roman" w:hAnsi="Times New Roman" w:eastAsia="仿宋_GB2312" w:cs="Times New Roman"/>
          <w:kern w:val="0"/>
          <w:sz w:val="32"/>
          <w:szCs w:val="32"/>
          <w:lang w:val="en-US" w:eastAsia="zh-CN"/>
        </w:rPr>
        <w:t xml:space="preserve"> min</w:t>
      </w:r>
      <w:r>
        <w:rPr>
          <w:rFonts w:hint="eastAsia" w:ascii="Times New Roman" w:hAnsi="Times New Roman" w:eastAsia="仿宋_GB2312" w:cs="Times New Roman"/>
          <w:kern w:val="0"/>
          <w:sz w:val="32"/>
          <w:szCs w:val="32"/>
          <w:lang w:eastAsia="zh-CN"/>
        </w:rPr>
        <w:t>，过滤后定容至100</w:t>
      </w:r>
      <w:r>
        <w:rPr>
          <w:rFonts w:hint="eastAsia" w:ascii="Times New Roman" w:hAnsi="Times New Roman" w:eastAsia="仿宋_GB2312" w:cs="Times New Roman"/>
          <w:kern w:val="0"/>
          <w:sz w:val="32"/>
          <w:szCs w:val="32"/>
          <w:lang w:val="en-US" w:eastAsia="zh-CN"/>
        </w:rPr>
        <w:t xml:space="preserve"> </w:t>
      </w:r>
      <w:r>
        <w:rPr>
          <w:rFonts w:hint="eastAsia" w:ascii="Times New Roman" w:hAnsi="Times New Roman" w:eastAsia="仿宋_GB2312" w:cs="Times New Roman"/>
          <w:kern w:val="0"/>
          <w:sz w:val="32"/>
          <w:szCs w:val="32"/>
          <w:lang w:eastAsia="zh-CN"/>
        </w:rPr>
        <w:t>mL；取20</w:t>
      </w:r>
      <w:r>
        <w:rPr>
          <w:rFonts w:hint="eastAsia" w:ascii="Times New Roman" w:hAnsi="Times New Roman" w:eastAsia="仿宋_GB2312" w:cs="Times New Roman"/>
          <w:kern w:val="0"/>
          <w:sz w:val="32"/>
          <w:szCs w:val="32"/>
          <w:lang w:val="en-US" w:eastAsia="zh-CN"/>
        </w:rPr>
        <w:t xml:space="preserve"> </w:t>
      </w:r>
      <w:r>
        <w:rPr>
          <w:rFonts w:hint="eastAsia" w:ascii="Times New Roman" w:hAnsi="Times New Roman" w:eastAsia="仿宋_GB2312" w:cs="Times New Roman"/>
          <w:kern w:val="0"/>
          <w:sz w:val="32"/>
          <w:szCs w:val="32"/>
          <w:lang w:eastAsia="zh-CN"/>
        </w:rPr>
        <w:t>mL滤液加入酚酞指示剂，用0.1</w:t>
      </w:r>
      <w:r>
        <w:rPr>
          <w:rFonts w:hint="eastAsia" w:ascii="Times New Roman" w:hAnsi="Times New Roman" w:eastAsia="仿宋_GB2312" w:cs="Times New Roman"/>
          <w:kern w:val="0"/>
          <w:sz w:val="32"/>
          <w:szCs w:val="32"/>
          <w:lang w:val="en-US" w:eastAsia="zh-CN"/>
        </w:rPr>
        <w:t xml:space="preserve"> </w:t>
      </w:r>
      <w:r>
        <w:rPr>
          <w:rFonts w:hint="eastAsia" w:ascii="Times New Roman" w:hAnsi="Times New Roman" w:eastAsia="仿宋_GB2312" w:cs="Times New Roman"/>
          <w:kern w:val="0"/>
          <w:sz w:val="32"/>
          <w:szCs w:val="32"/>
          <w:lang w:eastAsia="zh-CN"/>
        </w:rPr>
        <w:t>mol/L NaOH溶液滴定至粉红色，记录消耗溶液体积，以柠檬酸为基准计算有机酸含量。</w:t>
      </w:r>
    </w:p>
    <w:p w14:paraId="57D62195">
      <w:pPr>
        <w:numPr>
          <w:ilvl w:val="0"/>
          <w:numId w:val="0"/>
        </w:numPr>
        <w:spacing w:line="360" w:lineRule="auto"/>
        <w:ind w:firstLine="640" w:firstLineChars="200"/>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bidi="ar-SA"/>
        </w:rPr>
        <w:t>（5）</w:t>
      </w:r>
      <w:r>
        <w:rPr>
          <w:rFonts w:hint="eastAsia" w:ascii="Times New Roman" w:hAnsi="Times New Roman" w:eastAsia="仿宋" w:cs="Times New Roman"/>
          <w:kern w:val="0"/>
          <w:sz w:val="32"/>
          <w:szCs w:val="32"/>
          <w:lang w:val="en-US" w:eastAsia="zh-CN"/>
        </w:rPr>
        <w:t>冷库预冷时间</w:t>
      </w:r>
    </w:p>
    <w:p w14:paraId="71BC29A8">
      <w:pPr>
        <w:spacing w:line="360" w:lineRule="auto"/>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使用探针温度计测定菜心温度，记录温度下降至目标范围所需时间。</w:t>
      </w:r>
    </w:p>
    <w:p w14:paraId="22E9BDC9">
      <w:pPr>
        <w:numPr>
          <w:ilvl w:val="0"/>
          <w:numId w:val="0"/>
        </w:numPr>
        <w:spacing w:line="360" w:lineRule="auto"/>
        <w:ind w:firstLine="640" w:firstLineChars="200"/>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5.1.4 试验结果</w:t>
      </w:r>
    </w:p>
    <w:p w14:paraId="460F4560">
      <w:pPr>
        <w:spacing w:line="360" w:lineRule="auto"/>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综合品质指标与冷库预冷效率分析，早晨7:30-10:00是中甘15甘蓝的最优采收时段。该时段采收的甘蓝，含水量、可溶性糖、维生素C等品质指标均显著高于中午与晚上采收的样本；同时，早晨采收的甘蓝在冷库中预冷至目标温度的时间最短，预冷效率最高（见表1）。</w:t>
      </w:r>
    </w:p>
    <w:p w14:paraId="738368B4">
      <w:pPr>
        <w:numPr>
          <w:ilvl w:val="0"/>
          <w:numId w:val="0"/>
        </w:numPr>
        <w:spacing w:line="360" w:lineRule="auto"/>
        <w:jc w:val="center"/>
        <w:rPr>
          <w:rFonts w:hint="eastAsia" w:ascii="Times New Roman" w:hAnsi="Times New Roman" w:eastAsia="仿宋" w:cs="仿宋"/>
          <w:kern w:val="0"/>
          <w:sz w:val="28"/>
          <w:szCs w:val="28"/>
          <w:lang w:val="en-US" w:eastAsia="zh-CN"/>
        </w:rPr>
      </w:pPr>
    </w:p>
    <w:p w14:paraId="27B91ECA">
      <w:pPr>
        <w:numPr>
          <w:ilvl w:val="0"/>
          <w:numId w:val="0"/>
        </w:numPr>
        <w:spacing w:line="360" w:lineRule="auto"/>
        <w:jc w:val="center"/>
        <w:rPr>
          <w:rFonts w:hint="eastAsia" w:ascii="Times New Roman" w:hAnsi="Times New Roman" w:eastAsia="仿宋" w:cs="仿宋"/>
          <w:kern w:val="0"/>
          <w:sz w:val="28"/>
          <w:szCs w:val="28"/>
          <w:lang w:val="en-US" w:eastAsia="zh-CN"/>
        </w:rPr>
      </w:pPr>
    </w:p>
    <w:p w14:paraId="509888DC">
      <w:pPr>
        <w:numPr>
          <w:ilvl w:val="0"/>
          <w:numId w:val="0"/>
        </w:numPr>
        <w:spacing w:line="360" w:lineRule="auto"/>
        <w:jc w:val="center"/>
        <w:rPr>
          <w:rFonts w:hint="eastAsia" w:ascii="Times New Roman" w:hAnsi="Times New Roman" w:eastAsia="仿宋" w:cs="仿宋"/>
          <w:kern w:val="0"/>
          <w:sz w:val="28"/>
          <w:szCs w:val="28"/>
          <w:lang w:val="en-US" w:eastAsia="zh-CN"/>
        </w:rPr>
      </w:pPr>
    </w:p>
    <w:p w14:paraId="7F7E2266">
      <w:pPr>
        <w:numPr>
          <w:ilvl w:val="0"/>
          <w:numId w:val="0"/>
        </w:numPr>
        <w:spacing w:line="360" w:lineRule="auto"/>
        <w:jc w:val="center"/>
        <w:rPr>
          <w:rFonts w:hint="eastAsia" w:ascii="Times New Roman" w:hAnsi="Times New Roman" w:eastAsia="仿宋" w:cs="仿宋"/>
          <w:kern w:val="0"/>
          <w:sz w:val="28"/>
          <w:szCs w:val="28"/>
          <w:lang w:val="en-US" w:eastAsia="zh-CN"/>
        </w:rPr>
      </w:pPr>
      <w:r>
        <w:rPr>
          <w:rFonts w:hint="eastAsia" w:ascii="Times New Roman" w:hAnsi="Times New Roman" w:eastAsia="仿宋" w:cs="仿宋"/>
          <w:kern w:val="0"/>
          <w:sz w:val="28"/>
          <w:szCs w:val="28"/>
          <w:lang w:val="en-US" w:eastAsia="zh-CN"/>
        </w:rPr>
        <w:t>表1 不同采收时间对品质的影响</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3"/>
        <w:gridCol w:w="1896"/>
        <w:gridCol w:w="1976"/>
        <w:gridCol w:w="2073"/>
      </w:tblGrid>
      <w:tr w14:paraId="6155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583" w:type="dxa"/>
            <w:vMerge w:val="restart"/>
            <w:vAlign w:val="center"/>
          </w:tcPr>
          <w:p w14:paraId="5F60820F">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测定指标</w:t>
            </w:r>
          </w:p>
        </w:tc>
        <w:tc>
          <w:tcPr>
            <w:tcW w:w="5945" w:type="dxa"/>
            <w:gridSpan w:val="3"/>
            <w:vAlign w:val="top"/>
          </w:tcPr>
          <w:p w14:paraId="350BC91F">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采收时间</w:t>
            </w:r>
          </w:p>
        </w:tc>
      </w:tr>
      <w:tr w14:paraId="2982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583" w:type="dxa"/>
            <w:vMerge w:val="continue"/>
            <w:vAlign w:val="top"/>
          </w:tcPr>
          <w:p w14:paraId="34205D37">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p>
        </w:tc>
        <w:tc>
          <w:tcPr>
            <w:tcW w:w="1896" w:type="dxa"/>
            <w:vAlign w:val="top"/>
          </w:tcPr>
          <w:p w14:paraId="6A04F1A4">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Times New Roman"/>
                <w:kern w:val="0"/>
                <w:sz w:val="32"/>
                <w:szCs w:val="32"/>
                <w:lang w:val="en-US" w:eastAsia="zh-CN"/>
              </w:rPr>
              <w:t>7</w:t>
            </w:r>
            <w:r>
              <w:rPr>
                <w:rFonts w:hint="eastAsia" w:ascii="Times New Roman" w:hAnsi="Times New Roman" w:eastAsia="仿宋" w:cs="Times New Roman"/>
                <w:kern w:val="0"/>
                <w:sz w:val="32"/>
                <w:szCs w:val="32"/>
                <w:lang w:eastAsia="zh-CN"/>
              </w:rPr>
              <w:t>:30-</w:t>
            </w:r>
            <w:r>
              <w:rPr>
                <w:rFonts w:hint="eastAsia" w:ascii="Times New Roman" w:hAnsi="Times New Roman" w:eastAsia="仿宋" w:cs="Times New Roman"/>
                <w:kern w:val="0"/>
                <w:sz w:val="32"/>
                <w:szCs w:val="32"/>
                <w:lang w:val="en-US" w:eastAsia="zh-CN"/>
              </w:rPr>
              <w:t>10</w:t>
            </w:r>
            <w:r>
              <w:rPr>
                <w:rFonts w:hint="eastAsia" w:ascii="Times New Roman" w:hAnsi="Times New Roman" w:eastAsia="仿宋" w:cs="Times New Roman"/>
                <w:kern w:val="0"/>
                <w:sz w:val="32"/>
                <w:szCs w:val="32"/>
                <w:lang w:eastAsia="zh-CN"/>
              </w:rPr>
              <w:t>:00</w:t>
            </w:r>
          </w:p>
        </w:tc>
        <w:tc>
          <w:tcPr>
            <w:tcW w:w="1976" w:type="dxa"/>
            <w:vAlign w:val="top"/>
          </w:tcPr>
          <w:p w14:paraId="1790275D">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Times New Roman"/>
                <w:kern w:val="0"/>
                <w:sz w:val="32"/>
                <w:szCs w:val="32"/>
                <w:lang w:eastAsia="zh-CN"/>
              </w:rPr>
              <w:t>12:30-1</w:t>
            </w:r>
            <w:r>
              <w:rPr>
                <w:rFonts w:hint="eastAsia" w:ascii="Times New Roman" w:hAnsi="Times New Roman" w:eastAsia="仿宋" w:cs="Times New Roman"/>
                <w:kern w:val="0"/>
                <w:sz w:val="32"/>
                <w:szCs w:val="32"/>
                <w:lang w:val="en-US" w:eastAsia="zh-CN"/>
              </w:rPr>
              <w:t>5</w:t>
            </w:r>
            <w:r>
              <w:rPr>
                <w:rFonts w:hint="eastAsia" w:ascii="Times New Roman" w:hAnsi="Times New Roman" w:eastAsia="仿宋" w:cs="Times New Roman"/>
                <w:kern w:val="0"/>
                <w:sz w:val="32"/>
                <w:szCs w:val="32"/>
                <w:lang w:eastAsia="zh-CN"/>
              </w:rPr>
              <w:t>:00</w:t>
            </w:r>
          </w:p>
        </w:tc>
        <w:tc>
          <w:tcPr>
            <w:tcW w:w="2073" w:type="dxa"/>
            <w:vAlign w:val="top"/>
          </w:tcPr>
          <w:p w14:paraId="62C559BE">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Times New Roman"/>
                <w:kern w:val="0"/>
                <w:sz w:val="32"/>
                <w:szCs w:val="32"/>
                <w:lang w:eastAsia="zh-CN"/>
              </w:rPr>
              <w:t>18:30-</w:t>
            </w:r>
            <w:r>
              <w:rPr>
                <w:rFonts w:hint="eastAsia" w:ascii="Times New Roman" w:hAnsi="Times New Roman" w:eastAsia="仿宋" w:cs="Times New Roman"/>
                <w:kern w:val="0"/>
                <w:sz w:val="32"/>
                <w:szCs w:val="32"/>
                <w:lang w:val="en-US" w:eastAsia="zh-CN"/>
              </w:rPr>
              <w:t>21</w:t>
            </w:r>
            <w:r>
              <w:rPr>
                <w:rFonts w:hint="eastAsia" w:ascii="Times New Roman" w:hAnsi="Times New Roman" w:eastAsia="仿宋" w:cs="Times New Roman"/>
                <w:kern w:val="0"/>
                <w:sz w:val="32"/>
                <w:szCs w:val="32"/>
                <w:lang w:eastAsia="zh-CN"/>
              </w:rPr>
              <w:t>:00</w:t>
            </w:r>
          </w:p>
        </w:tc>
      </w:tr>
      <w:tr w14:paraId="27AA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83" w:type="dxa"/>
            <w:vAlign w:val="top"/>
          </w:tcPr>
          <w:p w14:paraId="1F3279A0">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含水量（%)</w:t>
            </w:r>
          </w:p>
        </w:tc>
        <w:tc>
          <w:tcPr>
            <w:tcW w:w="1896" w:type="dxa"/>
            <w:vAlign w:val="top"/>
          </w:tcPr>
          <w:p w14:paraId="479F566D">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91.6±1.72a</w:t>
            </w:r>
          </w:p>
        </w:tc>
        <w:tc>
          <w:tcPr>
            <w:tcW w:w="1976" w:type="dxa"/>
            <w:vAlign w:val="top"/>
          </w:tcPr>
          <w:p w14:paraId="2CB9B90C">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86.7±2.38b</w:t>
            </w:r>
          </w:p>
        </w:tc>
        <w:tc>
          <w:tcPr>
            <w:tcW w:w="2073" w:type="dxa"/>
            <w:vAlign w:val="top"/>
          </w:tcPr>
          <w:p w14:paraId="40E06407">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88.2±2.15b</w:t>
            </w:r>
          </w:p>
        </w:tc>
      </w:tr>
      <w:tr w14:paraId="0CDF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83" w:type="dxa"/>
            <w:vAlign w:val="top"/>
          </w:tcPr>
          <w:p w14:paraId="1B403190">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可溶性糖（g/100g）</w:t>
            </w:r>
          </w:p>
        </w:tc>
        <w:tc>
          <w:tcPr>
            <w:tcW w:w="1896" w:type="dxa"/>
            <w:vAlign w:val="top"/>
          </w:tcPr>
          <w:p w14:paraId="695A5646">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5.71±0.36a</w:t>
            </w:r>
          </w:p>
        </w:tc>
        <w:tc>
          <w:tcPr>
            <w:tcW w:w="1976" w:type="dxa"/>
            <w:vAlign w:val="top"/>
          </w:tcPr>
          <w:p w14:paraId="2DA122FB">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5.42±0.18b</w:t>
            </w:r>
          </w:p>
        </w:tc>
        <w:tc>
          <w:tcPr>
            <w:tcW w:w="2073" w:type="dxa"/>
            <w:vAlign w:val="top"/>
          </w:tcPr>
          <w:p w14:paraId="30328480">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5.53±0.12ab</w:t>
            </w:r>
          </w:p>
        </w:tc>
      </w:tr>
      <w:tr w14:paraId="5AF2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83" w:type="dxa"/>
            <w:vAlign w:val="top"/>
          </w:tcPr>
          <w:p w14:paraId="4511DFF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维生素C（mg/100g）</w:t>
            </w:r>
          </w:p>
        </w:tc>
        <w:tc>
          <w:tcPr>
            <w:tcW w:w="1896" w:type="dxa"/>
            <w:vAlign w:val="top"/>
          </w:tcPr>
          <w:p w14:paraId="4C44956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42.88±1.68a</w:t>
            </w:r>
          </w:p>
        </w:tc>
        <w:tc>
          <w:tcPr>
            <w:tcW w:w="1976" w:type="dxa"/>
            <w:vAlign w:val="top"/>
          </w:tcPr>
          <w:p w14:paraId="1B4A553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40.46±1.57b</w:t>
            </w:r>
          </w:p>
        </w:tc>
        <w:tc>
          <w:tcPr>
            <w:tcW w:w="2073" w:type="dxa"/>
            <w:vAlign w:val="top"/>
          </w:tcPr>
          <w:p w14:paraId="6EF20CB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41.52±2.14a</w:t>
            </w:r>
          </w:p>
        </w:tc>
      </w:tr>
      <w:tr w14:paraId="36E0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2583" w:type="dxa"/>
            <w:vAlign w:val="top"/>
          </w:tcPr>
          <w:p w14:paraId="6B4AB06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有机酸（g/100g）</w:t>
            </w:r>
          </w:p>
        </w:tc>
        <w:tc>
          <w:tcPr>
            <w:tcW w:w="1896" w:type="dxa"/>
            <w:vAlign w:val="top"/>
          </w:tcPr>
          <w:p w14:paraId="781A0F7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0.16±0.08a</w:t>
            </w:r>
          </w:p>
        </w:tc>
        <w:tc>
          <w:tcPr>
            <w:tcW w:w="1976" w:type="dxa"/>
            <w:vAlign w:val="top"/>
          </w:tcPr>
          <w:p w14:paraId="5E45027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0.17±0.02a</w:t>
            </w:r>
          </w:p>
        </w:tc>
        <w:tc>
          <w:tcPr>
            <w:tcW w:w="2073" w:type="dxa"/>
            <w:vAlign w:val="top"/>
          </w:tcPr>
          <w:p w14:paraId="52DE769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0.16±0.05a</w:t>
            </w:r>
          </w:p>
        </w:tc>
      </w:tr>
      <w:tr w14:paraId="7C88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583" w:type="dxa"/>
            <w:vAlign w:val="top"/>
          </w:tcPr>
          <w:p w14:paraId="0525D8D7">
            <w:pPr>
              <w:numPr>
                <w:ilvl w:val="0"/>
                <w:numId w:val="0"/>
              </w:numPr>
              <w:spacing w:line="360" w:lineRule="auto"/>
              <w:jc w:val="center"/>
              <w:rPr>
                <w:rFonts w:hint="default"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预冷时间(h)</w:t>
            </w:r>
          </w:p>
        </w:tc>
        <w:tc>
          <w:tcPr>
            <w:tcW w:w="1896" w:type="dxa"/>
            <w:vAlign w:val="top"/>
          </w:tcPr>
          <w:p w14:paraId="34F38606">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5</w:t>
            </w:r>
          </w:p>
        </w:tc>
        <w:tc>
          <w:tcPr>
            <w:tcW w:w="1976" w:type="dxa"/>
            <w:vAlign w:val="top"/>
          </w:tcPr>
          <w:p w14:paraId="3BB6211A">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7.5</w:t>
            </w:r>
          </w:p>
        </w:tc>
        <w:tc>
          <w:tcPr>
            <w:tcW w:w="2073" w:type="dxa"/>
            <w:vAlign w:val="top"/>
          </w:tcPr>
          <w:p w14:paraId="23A5F3A9">
            <w:pPr>
              <w:numPr>
                <w:ilvl w:val="0"/>
                <w:numId w:val="0"/>
              </w:numPr>
              <w:spacing w:line="360" w:lineRule="auto"/>
              <w:jc w:val="center"/>
              <w:rPr>
                <w:rFonts w:hint="eastAsia" w:ascii="Times New Roman" w:hAnsi="Times New Roman" w:eastAsia="仿宋" w:cs="仿宋"/>
                <w:kern w:val="0"/>
                <w:sz w:val="28"/>
                <w:szCs w:val="28"/>
                <w:vertAlign w:val="baseline"/>
                <w:lang w:val="en-US" w:eastAsia="zh-CN"/>
              </w:rPr>
            </w:pPr>
            <w:r>
              <w:rPr>
                <w:rFonts w:hint="eastAsia" w:ascii="Times New Roman" w:hAnsi="Times New Roman" w:eastAsia="仿宋" w:cs="仿宋"/>
                <w:kern w:val="0"/>
                <w:sz w:val="28"/>
                <w:szCs w:val="28"/>
                <w:vertAlign w:val="baseline"/>
                <w:lang w:val="en-US" w:eastAsia="zh-CN"/>
              </w:rPr>
              <w:t>5.5</w:t>
            </w:r>
          </w:p>
        </w:tc>
      </w:tr>
    </w:tbl>
    <w:p w14:paraId="230EA586">
      <w:pPr>
        <w:numPr>
          <w:ilvl w:val="0"/>
          <w:numId w:val="0"/>
        </w:numPr>
        <w:spacing w:line="360" w:lineRule="auto"/>
        <w:ind w:firstLine="640" w:firstLineChars="200"/>
        <w:rPr>
          <w:rFonts w:hint="default"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5.1.5 结论</w:t>
      </w:r>
    </w:p>
    <w:p w14:paraId="099EFE79">
      <w:pPr>
        <w:spacing w:line="360" w:lineRule="auto"/>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试验结果显示早上</w:t>
      </w:r>
      <w:r>
        <w:rPr>
          <w:rFonts w:hint="eastAsia" w:ascii="Times New Roman" w:hAnsi="Times New Roman" w:eastAsia="仿宋" w:cs="Times New Roman"/>
          <w:kern w:val="0"/>
          <w:sz w:val="32"/>
          <w:szCs w:val="32"/>
          <w:lang w:val="en-US" w:eastAsia="zh-CN"/>
        </w:rPr>
        <w:t>7</w:t>
      </w:r>
      <w:r>
        <w:rPr>
          <w:rFonts w:hint="eastAsia" w:ascii="Times New Roman" w:hAnsi="Times New Roman" w:eastAsia="仿宋" w:cs="Times New Roman"/>
          <w:kern w:val="0"/>
          <w:sz w:val="32"/>
          <w:szCs w:val="32"/>
          <w:lang w:eastAsia="zh-CN"/>
        </w:rPr>
        <w:t>:30-</w:t>
      </w:r>
      <w:r>
        <w:rPr>
          <w:rFonts w:hint="eastAsia" w:ascii="Times New Roman" w:hAnsi="Times New Roman" w:eastAsia="仿宋" w:cs="Times New Roman"/>
          <w:kern w:val="0"/>
          <w:sz w:val="32"/>
          <w:szCs w:val="32"/>
          <w:lang w:val="en-US" w:eastAsia="zh-CN"/>
        </w:rPr>
        <w:t>10</w:t>
      </w:r>
      <w:r>
        <w:rPr>
          <w:rFonts w:hint="eastAsia" w:ascii="Times New Roman" w:hAnsi="Times New Roman" w:eastAsia="仿宋" w:cs="Times New Roman"/>
          <w:kern w:val="0"/>
          <w:sz w:val="32"/>
          <w:szCs w:val="32"/>
          <w:lang w:eastAsia="zh-CN"/>
        </w:rPr>
        <w:t>:00时间段</w:t>
      </w:r>
      <w:r>
        <w:rPr>
          <w:rFonts w:hint="eastAsia" w:ascii="Times New Roman" w:hAnsi="Times New Roman" w:eastAsia="仿宋_GB2312" w:cs="Times New Roman"/>
          <w:kern w:val="0"/>
          <w:sz w:val="32"/>
          <w:szCs w:val="32"/>
          <w:lang w:eastAsia="zh-CN"/>
        </w:rPr>
        <w:t>采收时，产品水分含量达全天最高，质地脆嫩多汁，可溶性糖积累充足、有机酸含量低，甜感突出，维生素C含量较高，营养留存最佳。同时，早晨采收的甘蓝产品温度最低，在0-2℃冷库、松散堆码条件下，预冷至目标温度时间最短，能减少预冷能耗与品质损耗。</w:t>
      </w:r>
    </w:p>
    <w:p w14:paraId="2B2683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Times New Roman" w:hAnsi="Times New Roman" w:eastAsia="仿宋" w:cs="Times New Roman"/>
          <w:b/>
          <w:bCs/>
          <w:kern w:val="0"/>
          <w:sz w:val="32"/>
          <w:szCs w:val="32"/>
          <w:lang w:val="en-US" w:eastAsia="zh-CN"/>
        </w:rPr>
      </w:pPr>
      <w:r>
        <w:rPr>
          <w:rFonts w:hint="eastAsia" w:ascii="Times New Roman" w:hAnsi="Times New Roman" w:eastAsia="楷体_GB2312" w:cs="Times New Roman"/>
          <w:b/>
          <w:bCs/>
          <w:sz w:val="32"/>
          <w:szCs w:val="32"/>
          <w:lang w:val="en-US" w:eastAsia="zh-CN"/>
        </w:rPr>
        <w:t xml:space="preserve">5.2 </w:t>
      </w:r>
      <w:r>
        <w:rPr>
          <w:rFonts w:hint="eastAsia" w:ascii="Times New Roman" w:hAnsi="Times New Roman" w:eastAsia="仿宋" w:cs="Times New Roman"/>
          <w:b/>
          <w:bCs/>
          <w:kern w:val="0"/>
          <w:sz w:val="32"/>
          <w:szCs w:val="32"/>
          <w:lang w:val="en-US" w:eastAsia="zh-CN"/>
        </w:rPr>
        <w:t>不同核心温度对甘蓝预冷效果及贮藏品质的影响</w:t>
      </w:r>
    </w:p>
    <w:p w14:paraId="3EBD96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5.2.1试验材料</w:t>
      </w:r>
    </w:p>
    <w:p w14:paraId="38BA2A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供试甘蓝为中甘15，采收于同一地块，成熟度一致，无机械损伤、无病虫害、无黄叶烂叶，去除外层2层叶，常温放置30 min，擦干表面水分备用。</w:t>
      </w:r>
    </w:p>
    <w:p w14:paraId="7A2A84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5.2.1试验处理</w:t>
      </w:r>
    </w:p>
    <w:p w14:paraId="17FBDE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以甘蓝球心核心温度为单因素，设置3个处理组T1（预冷核心温度0℃-2℃）、T2（预冷核心温度2℃-4℃）、T3（预冷核心温度4℃-6℃）。每组3次重复，每重复12颗甘蓝，总试验样品108颗。分别在预冷后0 d、5 d、10 d、15 d、20 d，取样测定各项生理及品质指标，每组每次取样3颗甘蓝，重复测定3次。</w:t>
      </w:r>
    </w:p>
    <w:p w14:paraId="219565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5.2.2预冷方式与贮藏条件</w:t>
      </w:r>
    </w:p>
    <w:p w14:paraId="319270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本试验采用强制通风预冷，预冷完成后，统一置于4℃、预冷环境相对湿度90%-95%，冷库贮藏，贮藏周期20 d，风速0.4 m/s。</w:t>
      </w:r>
    </w:p>
    <w:p w14:paraId="142213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5.2.3主要试验仪器</w:t>
      </w:r>
    </w:p>
    <w:p w14:paraId="2A8D63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果蔬中心温度记录仪（精度±0.1℃）、电子分析天平、手持糖度计、紫外-可见分光光度计、容量瓶、移液管等。</w:t>
      </w:r>
    </w:p>
    <w:p w14:paraId="4E6689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5.2.4主要测定指标</w:t>
      </w:r>
    </w:p>
    <w:p w14:paraId="641ED77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0" w:leftChars="0" w:firstLine="640" w:firstLineChars="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预冷时间</w:t>
      </w:r>
    </w:p>
    <w:p w14:paraId="353533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从放入预冷到核心温度达到目标区间并稳定的总时长。</w:t>
      </w:r>
    </w:p>
    <w:p w14:paraId="72129277">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0" w:leftChars="0" w:firstLine="640" w:firstLineChars="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降温速率</w:t>
      </w:r>
    </w:p>
    <w:p w14:paraId="5A0AAC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降温速率=（初始核心温度-目标核心温度）/预冷时间。</w:t>
      </w:r>
    </w:p>
    <w:p w14:paraId="47DA0ED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0" w:leftChars="0" w:firstLine="640" w:firstLineChars="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失重率</w:t>
      </w:r>
    </w:p>
    <w:p w14:paraId="1A5545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失重率=（初始重量-测定时重量）/初始重量×100%。</w:t>
      </w:r>
    </w:p>
    <w:p w14:paraId="06DD504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0" w:leftChars="0" w:firstLine="640" w:firstLineChars="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腐烂率</w:t>
      </w:r>
    </w:p>
    <w:p w14:paraId="491BD1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0" w:leftChars="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腐烂率=腐烂甘蓝数/总甘蓝数×100%。</w:t>
      </w:r>
    </w:p>
    <w:p w14:paraId="57E4DD6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0" w:leftChars="0" w:firstLine="640" w:firstLineChars="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可溶性固形物</w:t>
      </w:r>
    </w:p>
    <w:p w14:paraId="101FF2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可溶性固形物用糖度计测定。</w:t>
      </w:r>
    </w:p>
    <w:p w14:paraId="08C8235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10" w:leftChars="0" w:firstLine="640" w:firstLineChars="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维生素C含量</w:t>
      </w:r>
    </w:p>
    <w:p w14:paraId="64C67D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维生素C含量用2,6-二氯靛酚滴定法测定。</w:t>
      </w:r>
    </w:p>
    <w:p w14:paraId="7B205C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5.2.5试验结果</w:t>
      </w:r>
    </w:p>
    <w:p w14:paraId="1821B074">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预冷过程核心温度</w:t>
      </w:r>
    </w:p>
    <w:p w14:paraId="169E7A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由表1可知，不同核心温度预冷处理对甘蓝预冷效果存在明显差异，随着预冷目标核心温度的升高，甘蓝预冷所需时间显著缩短，降温速率不断加快；其中T1组（0℃~2℃）预冷时长最长、降温速率最慢，但预冷终点核心温度最低，能够快速移除田间热，T3组（4℃~6℃）预冷效率最高、耗时最短，降温速度最快，T2组（2℃~4℃）的预冷时长与降温速率均处于两者之间。</w:t>
      </w:r>
    </w:p>
    <w:p w14:paraId="45C737F9">
      <w:pPr>
        <w:keepNext w:val="0"/>
        <w:keepLines w:val="0"/>
        <w:pageBreakBefore w:val="0"/>
        <w:widowControl w:val="0"/>
        <w:numPr>
          <w:ilvl w:val="0"/>
          <w:numId w:val="0"/>
        </w:numPr>
        <w:kinsoku/>
        <w:wordWrap w:val="0"/>
        <w:overflowPunct/>
        <w:topLinePunct w:val="0"/>
        <w:autoSpaceDE/>
        <w:autoSpaceDN/>
        <w:bidi w:val="0"/>
        <w:adjustRightInd/>
        <w:snapToGrid w:val="0"/>
        <w:spacing w:line="240" w:lineRule="auto"/>
        <w:ind w:firstLine="640" w:firstLineChars="200"/>
        <w:jc w:val="center"/>
        <w:textAlignment w:val="auto"/>
        <w:rPr>
          <w:rFonts w:hint="default"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表1 不同处理预冷核心温度</w:t>
      </w:r>
    </w:p>
    <w:tbl>
      <w:tblPr>
        <w:tblStyle w:val="8"/>
        <w:tblW w:w="50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633"/>
        <w:gridCol w:w="1884"/>
        <w:gridCol w:w="2206"/>
        <w:gridCol w:w="2834"/>
      </w:tblGrid>
      <w:tr w14:paraId="0E82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jc w:val="center"/>
        </w:trPr>
        <w:tc>
          <w:tcPr>
            <w:tcW w:w="954" w:type="pct"/>
            <w:shd w:val="clear" w:color="auto" w:fill="auto"/>
            <w:noWrap/>
            <w:vAlign w:val="center"/>
          </w:tcPr>
          <w:p w14:paraId="468C2C8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处理组</w:t>
            </w:r>
          </w:p>
        </w:tc>
        <w:tc>
          <w:tcPr>
            <w:tcW w:w="1100" w:type="pct"/>
            <w:shd w:val="clear" w:color="auto" w:fill="auto"/>
            <w:noWrap/>
            <w:vAlign w:val="center"/>
          </w:tcPr>
          <w:p w14:paraId="107BF80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预冷时间（h）</w:t>
            </w:r>
          </w:p>
        </w:tc>
        <w:tc>
          <w:tcPr>
            <w:tcW w:w="1289" w:type="pct"/>
            <w:shd w:val="clear" w:color="auto" w:fill="auto"/>
            <w:noWrap/>
            <w:vAlign w:val="center"/>
          </w:tcPr>
          <w:p w14:paraId="75E4755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降温速率（℃/h）</w:t>
            </w:r>
          </w:p>
        </w:tc>
        <w:tc>
          <w:tcPr>
            <w:tcW w:w="1655" w:type="pct"/>
            <w:shd w:val="clear" w:color="auto" w:fill="auto"/>
            <w:noWrap/>
            <w:vAlign w:val="center"/>
          </w:tcPr>
          <w:p w14:paraId="729AE66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预冷后核心温度（℃）</w:t>
            </w:r>
          </w:p>
        </w:tc>
      </w:tr>
      <w:tr w14:paraId="0FD9D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954" w:type="pct"/>
            <w:shd w:val="clear" w:color="auto" w:fill="auto"/>
            <w:noWrap/>
            <w:vAlign w:val="center"/>
          </w:tcPr>
          <w:p w14:paraId="17EB862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T1（0℃-2℃）</w:t>
            </w:r>
          </w:p>
        </w:tc>
        <w:tc>
          <w:tcPr>
            <w:tcW w:w="1100" w:type="pct"/>
            <w:shd w:val="clear" w:color="auto" w:fill="auto"/>
            <w:noWrap/>
            <w:vAlign w:val="center"/>
          </w:tcPr>
          <w:p w14:paraId="31BE1CE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6.42</w:t>
            </w:r>
          </w:p>
        </w:tc>
        <w:tc>
          <w:tcPr>
            <w:tcW w:w="1289" w:type="pct"/>
            <w:shd w:val="clear" w:color="auto" w:fill="auto"/>
            <w:noWrap/>
            <w:vAlign w:val="center"/>
          </w:tcPr>
          <w:p w14:paraId="37154F2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2.76</w:t>
            </w:r>
          </w:p>
        </w:tc>
        <w:tc>
          <w:tcPr>
            <w:tcW w:w="1655" w:type="pct"/>
            <w:shd w:val="clear" w:color="auto" w:fill="auto"/>
            <w:noWrap/>
            <w:vAlign w:val="center"/>
          </w:tcPr>
          <w:p w14:paraId="2B6F99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1.6</w:t>
            </w:r>
          </w:p>
        </w:tc>
      </w:tr>
      <w:tr w14:paraId="4FC2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954" w:type="pct"/>
            <w:shd w:val="clear" w:color="auto" w:fill="auto"/>
            <w:noWrap/>
            <w:vAlign w:val="center"/>
          </w:tcPr>
          <w:p w14:paraId="2F5ACEA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T2（2℃-4℃）</w:t>
            </w:r>
          </w:p>
        </w:tc>
        <w:tc>
          <w:tcPr>
            <w:tcW w:w="1100" w:type="pct"/>
            <w:shd w:val="clear" w:color="auto" w:fill="auto"/>
            <w:noWrap/>
            <w:vAlign w:val="center"/>
          </w:tcPr>
          <w:p w14:paraId="6EBC5D4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5.15</w:t>
            </w:r>
          </w:p>
        </w:tc>
        <w:tc>
          <w:tcPr>
            <w:tcW w:w="1289" w:type="pct"/>
            <w:shd w:val="clear" w:color="auto" w:fill="auto"/>
            <w:noWrap/>
            <w:vAlign w:val="center"/>
          </w:tcPr>
          <w:p w14:paraId="08CA7B8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3.7</w:t>
            </w:r>
          </w:p>
        </w:tc>
        <w:tc>
          <w:tcPr>
            <w:tcW w:w="1655" w:type="pct"/>
            <w:shd w:val="clear" w:color="auto" w:fill="auto"/>
            <w:noWrap/>
            <w:vAlign w:val="center"/>
          </w:tcPr>
          <w:p w14:paraId="0750530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3.2</w:t>
            </w:r>
          </w:p>
        </w:tc>
      </w:tr>
      <w:tr w14:paraId="10D71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954" w:type="pct"/>
            <w:shd w:val="clear" w:color="auto" w:fill="auto"/>
            <w:noWrap/>
            <w:vAlign w:val="center"/>
          </w:tcPr>
          <w:p w14:paraId="59FCD48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T3（4℃-6℃）</w:t>
            </w:r>
          </w:p>
        </w:tc>
        <w:tc>
          <w:tcPr>
            <w:tcW w:w="1100" w:type="pct"/>
            <w:shd w:val="clear" w:color="auto" w:fill="auto"/>
            <w:noWrap/>
            <w:vAlign w:val="center"/>
          </w:tcPr>
          <w:p w14:paraId="54ABC4A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3.08</w:t>
            </w:r>
          </w:p>
        </w:tc>
        <w:tc>
          <w:tcPr>
            <w:tcW w:w="1289" w:type="pct"/>
            <w:shd w:val="clear" w:color="auto" w:fill="auto"/>
            <w:noWrap/>
            <w:vAlign w:val="center"/>
          </w:tcPr>
          <w:p w14:paraId="0A4D068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5.58</w:t>
            </w:r>
          </w:p>
        </w:tc>
        <w:tc>
          <w:tcPr>
            <w:tcW w:w="1655" w:type="pct"/>
            <w:shd w:val="clear" w:color="auto" w:fill="auto"/>
            <w:noWrap/>
            <w:vAlign w:val="center"/>
          </w:tcPr>
          <w:p w14:paraId="0E91733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5.3</w:t>
            </w:r>
          </w:p>
        </w:tc>
      </w:tr>
    </w:tbl>
    <w:p w14:paraId="72DECF7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主要品质指标</w:t>
      </w:r>
    </w:p>
    <w:p w14:paraId="0D2031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从贮藏期各品质指标数据变化来看，随着贮藏时间延长，三组不同预冷温度处理的甘蓝均出现失重率、腐烂率上升，可溶性固形物、维生素C含量下降的趋势，且处理组间差异显著，其中T1组（0℃-2℃）甘蓝的失重率、腐烂率增长最为缓慢，贮藏20 d时数值低于T2、T3组，同时可溶性固形物与维生素C含量的保留量最高，营养损耗最少，T2组（2℃-4℃）各指标变化幅度居中，而T3组（4℃-6℃）甘蓝品质劣变最快，失重、腐烂问题突出，营养物质流失最为严重，这表明较低的预冷核心温度越能有效抑制甘蓝贮藏期间的水分散失、腐烂霉变及营养成分降解，更好地维持甘蓝采后贮藏品质，具体数据见表2。</w:t>
      </w:r>
    </w:p>
    <w:p w14:paraId="6445AC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center"/>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表2 不同处理对甘蓝品质的影响</w:t>
      </w:r>
    </w:p>
    <w:tbl>
      <w:tblPr>
        <w:tblStyle w:val="8"/>
        <w:tblW w:w="56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975"/>
        <w:gridCol w:w="1509"/>
        <w:gridCol w:w="1426"/>
        <w:gridCol w:w="1463"/>
        <w:gridCol w:w="1515"/>
        <w:gridCol w:w="1536"/>
      </w:tblGrid>
      <w:tr w14:paraId="50FD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592" w:type="pct"/>
            <w:shd w:val="clear" w:color="auto" w:fill="auto"/>
            <w:noWrap/>
            <w:vAlign w:val="center"/>
          </w:tcPr>
          <w:p w14:paraId="04D9703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指标</w:t>
            </w:r>
          </w:p>
        </w:tc>
        <w:tc>
          <w:tcPr>
            <w:tcW w:w="510" w:type="pct"/>
            <w:shd w:val="clear" w:color="auto" w:fill="auto"/>
            <w:noWrap/>
            <w:vAlign w:val="center"/>
          </w:tcPr>
          <w:p w14:paraId="09590DB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处理组</w:t>
            </w:r>
          </w:p>
        </w:tc>
        <w:tc>
          <w:tcPr>
            <w:tcW w:w="789" w:type="pct"/>
            <w:shd w:val="clear" w:color="auto" w:fill="auto"/>
            <w:noWrap/>
            <w:vAlign w:val="center"/>
          </w:tcPr>
          <w:p w14:paraId="47EED8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 d</w:t>
            </w:r>
          </w:p>
        </w:tc>
        <w:tc>
          <w:tcPr>
            <w:tcW w:w="746" w:type="pct"/>
            <w:shd w:val="clear" w:color="auto" w:fill="auto"/>
            <w:noWrap/>
            <w:vAlign w:val="center"/>
          </w:tcPr>
          <w:p w14:paraId="744265A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 d</w:t>
            </w:r>
          </w:p>
        </w:tc>
        <w:tc>
          <w:tcPr>
            <w:tcW w:w="765" w:type="pct"/>
            <w:shd w:val="clear" w:color="auto" w:fill="auto"/>
            <w:noWrap/>
            <w:vAlign w:val="center"/>
          </w:tcPr>
          <w:p w14:paraId="197C6B4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10 d</w:t>
            </w:r>
          </w:p>
        </w:tc>
        <w:tc>
          <w:tcPr>
            <w:tcW w:w="792" w:type="pct"/>
            <w:shd w:val="clear" w:color="auto" w:fill="auto"/>
            <w:noWrap/>
            <w:vAlign w:val="center"/>
          </w:tcPr>
          <w:p w14:paraId="054304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15 d</w:t>
            </w:r>
          </w:p>
        </w:tc>
        <w:tc>
          <w:tcPr>
            <w:tcW w:w="803" w:type="pct"/>
            <w:shd w:val="clear" w:color="auto" w:fill="auto"/>
            <w:noWrap/>
            <w:vAlign w:val="center"/>
          </w:tcPr>
          <w:p w14:paraId="5DB9FBD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20 d</w:t>
            </w:r>
          </w:p>
        </w:tc>
      </w:tr>
      <w:tr w14:paraId="3327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92" w:type="pct"/>
            <w:vMerge w:val="restart"/>
            <w:shd w:val="clear" w:color="auto" w:fill="auto"/>
            <w:noWrap/>
            <w:vAlign w:val="center"/>
          </w:tcPr>
          <w:p w14:paraId="398EBD1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失重率（%）</w:t>
            </w:r>
          </w:p>
        </w:tc>
        <w:tc>
          <w:tcPr>
            <w:tcW w:w="510" w:type="pct"/>
            <w:shd w:val="clear" w:color="auto" w:fill="auto"/>
            <w:noWrap/>
            <w:vAlign w:val="center"/>
          </w:tcPr>
          <w:p w14:paraId="143CC1F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T1</w:t>
            </w:r>
          </w:p>
        </w:tc>
        <w:tc>
          <w:tcPr>
            <w:tcW w:w="789" w:type="pct"/>
            <w:shd w:val="clear" w:color="auto" w:fill="auto"/>
            <w:noWrap/>
            <w:vAlign w:val="center"/>
          </w:tcPr>
          <w:p w14:paraId="73D7AE1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46" w:type="pct"/>
            <w:shd w:val="clear" w:color="auto" w:fill="auto"/>
            <w:noWrap/>
            <w:vAlign w:val="center"/>
          </w:tcPr>
          <w:p w14:paraId="2A9DEEC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0.52±0.03</w:t>
            </w:r>
          </w:p>
        </w:tc>
        <w:tc>
          <w:tcPr>
            <w:tcW w:w="765" w:type="pct"/>
            <w:shd w:val="clear" w:color="auto" w:fill="auto"/>
            <w:noWrap/>
            <w:vAlign w:val="center"/>
          </w:tcPr>
          <w:p w14:paraId="7526B73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1.15±0.05</w:t>
            </w:r>
          </w:p>
        </w:tc>
        <w:tc>
          <w:tcPr>
            <w:tcW w:w="792" w:type="pct"/>
            <w:shd w:val="clear" w:color="auto" w:fill="auto"/>
            <w:noWrap/>
            <w:vAlign w:val="center"/>
          </w:tcPr>
          <w:p w14:paraId="17C9839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1.78±0.06</w:t>
            </w:r>
          </w:p>
        </w:tc>
        <w:tc>
          <w:tcPr>
            <w:tcW w:w="803" w:type="pct"/>
            <w:shd w:val="clear" w:color="auto" w:fill="auto"/>
            <w:noWrap/>
            <w:vAlign w:val="center"/>
          </w:tcPr>
          <w:p w14:paraId="679670B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2.26±0.08</w:t>
            </w:r>
          </w:p>
        </w:tc>
      </w:tr>
      <w:tr w14:paraId="450D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592" w:type="pct"/>
            <w:vMerge w:val="continue"/>
            <w:shd w:val="clear" w:color="auto" w:fill="auto"/>
            <w:noWrap/>
            <w:vAlign w:val="center"/>
          </w:tcPr>
          <w:p w14:paraId="613989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p>
        </w:tc>
        <w:tc>
          <w:tcPr>
            <w:tcW w:w="510" w:type="pct"/>
            <w:shd w:val="clear" w:color="auto" w:fill="auto"/>
            <w:noWrap/>
            <w:vAlign w:val="center"/>
          </w:tcPr>
          <w:p w14:paraId="6E87053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T2</w:t>
            </w:r>
          </w:p>
        </w:tc>
        <w:tc>
          <w:tcPr>
            <w:tcW w:w="789" w:type="pct"/>
            <w:shd w:val="clear" w:color="auto" w:fill="auto"/>
            <w:noWrap/>
            <w:vAlign w:val="center"/>
          </w:tcPr>
          <w:p w14:paraId="440F66E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46" w:type="pct"/>
            <w:shd w:val="clear" w:color="auto" w:fill="auto"/>
            <w:noWrap/>
            <w:vAlign w:val="center"/>
          </w:tcPr>
          <w:p w14:paraId="444E5B6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0.76±0.04</w:t>
            </w:r>
          </w:p>
        </w:tc>
        <w:tc>
          <w:tcPr>
            <w:tcW w:w="765" w:type="pct"/>
            <w:shd w:val="clear" w:color="auto" w:fill="auto"/>
            <w:noWrap/>
            <w:vAlign w:val="center"/>
          </w:tcPr>
          <w:p w14:paraId="0D2045B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1.54±0.06</w:t>
            </w:r>
          </w:p>
        </w:tc>
        <w:tc>
          <w:tcPr>
            <w:tcW w:w="792" w:type="pct"/>
            <w:shd w:val="clear" w:color="auto" w:fill="auto"/>
            <w:noWrap/>
            <w:vAlign w:val="center"/>
          </w:tcPr>
          <w:p w14:paraId="27E645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2.31±0.07</w:t>
            </w:r>
          </w:p>
        </w:tc>
        <w:tc>
          <w:tcPr>
            <w:tcW w:w="803" w:type="pct"/>
            <w:shd w:val="clear" w:color="auto" w:fill="auto"/>
            <w:noWrap/>
            <w:vAlign w:val="center"/>
          </w:tcPr>
          <w:p w14:paraId="01DBF8A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2.83±0.09</w:t>
            </w:r>
          </w:p>
        </w:tc>
      </w:tr>
      <w:tr w14:paraId="708B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592" w:type="pct"/>
            <w:vMerge w:val="continue"/>
            <w:shd w:val="clear" w:color="auto" w:fill="auto"/>
            <w:noWrap/>
            <w:vAlign w:val="center"/>
          </w:tcPr>
          <w:p w14:paraId="7EE17C4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p>
        </w:tc>
        <w:tc>
          <w:tcPr>
            <w:tcW w:w="510" w:type="pct"/>
            <w:shd w:val="clear" w:color="auto" w:fill="auto"/>
            <w:noWrap/>
            <w:vAlign w:val="center"/>
          </w:tcPr>
          <w:p w14:paraId="5DB3949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T3</w:t>
            </w:r>
          </w:p>
        </w:tc>
        <w:tc>
          <w:tcPr>
            <w:tcW w:w="789" w:type="pct"/>
            <w:shd w:val="clear" w:color="auto" w:fill="auto"/>
            <w:noWrap/>
            <w:vAlign w:val="center"/>
          </w:tcPr>
          <w:p w14:paraId="7DCEB8C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46" w:type="pct"/>
            <w:shd w:val="clear" w:color="auto" w:fill="auto"/>
            <w:noWrap/>
            <w:vAlign w:val="center"/>
          </w:tcPr>
          <w:p w14:paraId="450B50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1.08±0.05</w:t>
            </w:r>
          </w:p>
        </w:tc>
        <w:tc>
          <w:tcPr>
            <w:tcW w:w="765" w:type="pct"/>
            <w:shd w:val="clear" w:color="auto" w:fill="auto"/>
            <w:noWrap/>
            <w:vAlign w:val="center"/>
          </w:tcPr>
          <w:p w14:paraId="4CF3367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2.07±0.08</w:t>
            </w:r>
          </w:p>
        </w:tc>
        <w:tc>
          <w:tcPr>
            <w:tcW w:w="792" w:type="pct"/>
            <w:shd w:val="clear" w:color="auto" w:fill="auto"/>
            <w:noWrap/>
            <w:vAlign w:val="center"/>
          </w:tcPr>
          <w:p w14:paraId="1DEEC28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3.05±0.09</w:t>
            </w:r>
          </w:p>
        </w:tc>
        <w:tc>
          <w:tcPr>
            <w:tcW w:w="803" w:type="pct"/>
            <w:shd w:val="clear" w:color="auto" w:fill="auto"/>
            <w:noWrap/>
            <w:vAlign w:val="center"/>
          </w:tcPr>
          <w:p w14:paraId="4D3B315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3.72±0.11</w:t>
            </w:r>
          </w:p>
        </w:tc>
      </w:tr>
      <w:tr w14:paraId="6039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592" w:type="pct"/>
            <w:vMerge w:val="restart"/>
            <w:shd w:val="clear" w:color="auto" w:fill="auto"/>
            <w:noWrap/>
            <w:vAlign w:val="center"/>
          </w:tcPr>
          <w:p w14:paraId="7E1D87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腐烂率（%）</w:t>
            </w:r>
          </w:p>
        </w:tc>
        <w:tc>
          <w:tcPr>
            <w:tcW w:w="510" w:type="pct"/>
            <w:shd w:val="clear" w:color="auto" w:fill="auto"/>
            <w:noWrap/>
            <w:vAlign w:val="center"/>
          </w:tcPr>
          <w:p w14:paraId="2A0D99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T1</w:t>
            </w:r>
          </w:p>
        </w:tc>
        <w:tc>
          <w:tcPr>
            <w:tcW w:w="789" w:type="pct"/>
            <w:shd w:val="clear" w:color="auto" w:fill="auto"/>
            <w:noWrap/>
            <w:vAlign w:val="center"/>
          </w:tcPr>
          <w:p w14:paraId="485ADD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46" w:type="pct"/>
            <w:shd w:val="clear" w:color="auto" w:fill="auto"/>
            <w:noWrap/>
            <w:vAlign w:val="center"/>
          </w:tcPr>
          <w:p w14:paraId="5EB7E1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65" w:type="pct"/>
            <w:shd w:val="clear" w:color="auto" w:fill="auto"/>
            <w:noWrap/>
            <w:vAlign w:val="center"/>
          </w:tcPr>
          <w:p w14:paraId="34A23E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92" w:type="pct"/>
            <w:shd w:val="clear" w:color="auto" w:fill="auto"/>
            <w:noWrap/>
            <w:vAlign w:val="center"/>
          </w:tcPr>
          <w:p w14:paraId="12A99F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2.78±1.44</w:t>
            </w:r>
          </w:p>
        </w:tc>
        <w:tc>
          <w:tcPr>
            <w:tcW w:w="803" w:type="pct"/>
            <w:shd w:val="clear" w:color="auto" w:fill="auto"/>
            <w:noWrap/>
            <w:vAlign w:val="center"/>
          </w:tcPr>
          <w:p w14:paraId="394E1D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2.78±1.44</w:t>
            </w:r>
          </w:p>
        </w:tc>
      </w:tr>
      <w:tr w14:paraId="5B7A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592" w:type="pct"/>
            <w:vMerge w:val="continue"/>
            <w:shd w:val="clear" w:color="auto" w:fill="auto"/>
            <w:noWrap/>
            <w:vAlign w:val="center"/>
          </w:tcPr>
          <w:p w14:paraId="46AD2E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p>
        </w:tc>
        <w:tc>
          <w:tcPr>
            <w:tcW w:w="510" w:type="pct"/>
            <w:shd w:val="clear" w:color="auto" w:fill="auto"/>
            <w:noWrap/>
            <w:vAlign w:val="center"/>
          </w:tcPr>
          <w:p w14:paraId="4EC667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T2</w:t>
            </w:r>
          </w:p>
        </w:tc>
        <w:tc>
          <w:tcPr>
            <w:tcW w:w="789" w:type="pct"/>
            <w:shd w:val="clear" w:color="auto" w:fill="auto"/>
            <w:noWrap/>
            <w:vAlign w:val="center"/>
          </w:tcPr>
          <w:p w14:paraId="65550B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46" w:type="pct"/>
            <w:shd w:val="clear" w:color="auto" w:fill="auto"/>
            <w:noWrap/>
            <w:vAlign w:val="center"/>
          </w:tcPr>
          <w:p w14:paraId="503DDD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65" w:type="pct"/>
            <w:shd w:val="clear" w:color="auto" w:fill="auto"/>
            <w:noWrap/>
            <w:vAlign w:val="center"/>
          </w:tcPr>
          <w:p w14:paraId="6926D6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92" w:type="pct"/>
            <w:shd w:val="clear" w:color="auto" w:fill="auto"/>
            <w:noWrap/>
            <w:vAlign w:val="center"/>
          </w:tcPr>
          <w:p w14:paraId="271D96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2.78±1.44</w:t>
            </w:r>
          </w:p>
        </w:tc>
        <w:tc>
          <w:tcPr>
            <w:tcW w:w="803" w:type="pct"/>
            <w:shd w:val="clear" w:color="auto" w:fill="auto"/>
            <w:noWrap/>
            <w:vAlign w:val="center"/>
          </w:tcPr>
          <w:p w14:paraId="056BE6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5.56±1.61</w:t>
            </w:r>
          </w:p>
        </w:tc>
      </w:tr>
      <w:tr w14:paraId="78A7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592" w:type="pct"/>
            <w:vMerge w:val="continue"/>
            <w:shd w:val="clear" w:color="auto" w:fill="auto"/>
            <w:noWrap/>
            <w:vAlign w:val="center"/>
          </w:tcPr>
          <w:p w14:paraId="0E66C8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p>
        </w:tc>
        <w:tc>
          <w:tcPr>
            <w:tcW w:w="510" w:type="pct"/>
            <w:shd w:val="clear" w:color="auto" w:fill="auto"/>
            <w:noWrap/>
            <w:vAlign w:val="center"/>
          </w:tcPr>
          <w:p w14:paraId="06E4D5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T3</w:t>
            </w:r>
          </w:p>
        </w:tc>
        <w:tc>
          <w:tcPr>
            <w:tcW w:w="789" w:type="pct"/>
            <w:shd w:val="clear" w:color="auto" w:fill="auto"/>
            <w:noWrap/>
            <w:vAlign w:val="center"/>
          </w:tcPr>
          <w:p w14:paraId="70AE21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46" w:type="pct"/>
            <w:shd w:val="clear" w:color="auto" w:fill="auto"/>
            <w:noWrap/>
            <w:vAlign w:val="center"/>
          </w:tcPr>
          <w:p w14:paraId="518AFD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0.00±0.00</w:t>
            </w:r>
          </w:p>
        </w:tc>
        <w:tc>
          <w:tcPr>
            <w:tcW w:w="765" w:type="pct"/>
            <w:shd w:val="clear" w:color="auto" w:fill="auto"/>
            <w:noWrap/>
            <w:vAlign w:val="center"/>
          </w:tcPr>
          <w:p w14:paraId="2B444C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2.78±1.44</w:t>
            </w:r>
          </w:p>
        </w:tc>
        <w:tc>
          <w:tcPr>
            <w:tcW w:w="792" w:type="pct"/>
            <w:shd w:val="clear" w:color="auto" w:fill="auto"/>
            <w:noWrap/>
            <w:vAlign w:val="center"/>
          </w:tcPr>
          <w:p w14:paraId="00311E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5.56±1.61</w:t>
            </w:r>
          </w:p>
        </w:tc>
        <w:tc>
          <w:tcPr>
            <w:tcW w:w="803" w:type="pct"/>
            <w:shd w:val="clear" w:color="auto" w:fill="auto"/>
            <w:noWrap/>
            <w:vAlign w:val="center"/>
          </w:tcPr>
          <w:p w14:paraId="5AB561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8.33±0.00</w:t>
            </w:r>
          </w:p>
        </w:tc>
      </w:tr>
      <w:tr w14:paraId="134E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592" w:type="pct"/>
            <w:vMerge w:val="restart"/>
            <w:shd w:val="clear" w:color="auto" w:fill="auto"/>
            <w:noWrap/>
            <w:vAlign w:val="center"/>
          </w:tcPr>
          <w:p w14:paraId="7E3964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可溶性固形物含量（%）</w:t>
            </w:r>
          </w:p>
        </w:tc>
        <w:tc>
          <w:tcPr>
            <w:tcW w:w="510" w:type="pct"/>
            <w:shd w:val="clear" w:color="auto" w:fill="auto"/>
            <w:noWrap/>
            <w:vAlign w:val="center"/>
          </w:tcPr>
          <w:p w14:paraId="54E54C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T1</w:t>
            </w:r>
          </w:p>
        </w:tc>
        <w:tc>
          <w:tcPr>
            <w:tcW w:w="789" w:type="pct"/>
            <w:shd w:val="clear" w:color="auto" w:fill="auto"/>
            <w:noWrap/>
            <w:vAlign w:val="center"/>
          </w:tcPr>
          <w:p w14:paraId="788E8E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5.32±0.05</w:t>
            </w:r>
          </w:p>
        </w:tc>
        <w:tc>
          <w:tcPr>
            <w:tcW w:w="746" w:type="pct"/>
            <w:shd w:val="clear" w:color="auto" w:fill="auto"/>
            <w:noWrap/>
            <w:vAlign w:val="center"/>
          </w:tcPr>
          <w:p w14:paraId="6C68FF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5.21±0.04</w:t>
            </w:r>
          </w:p>
        </w:tc>
        <w:tc>
          <w:tcPr>
            <w:tcW w:w="765" w:type="pct"/>
            <w:shd w:val="clear" w:color="auto" w:fill="auto"/>
            <w:noWrap/>
            <w:vAlign w:val="center"/>
          </w:tcPr>
          <w:p w14:paraId="0CBADD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5.07±0.05</w:t>
            </w:r>
          </w:p>
        </w:tc>
        <w:tc>
          <w:tcPr>
            <w:tcW w:w="792" w:type="pct"/>
            <w:shd w:val="clear" w:color="auto" w:fill="auto"/>
            <w:noWrap/>
            <w:vAlign w:val="center"/>
          </w:tcPr>
          <w:p w14:paraId="27AC81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4.93±0.04</w:t>
            </w:r>
          </w:p>
        </w:tc>
        <w:tc>
          <w:tcPr>
            <w:tcW w:w="803" w:type="pct"/>
            <w:shd w:val="clear" w:color="auto" w:fill="auto"/>
            <w:noWrap/>
            <w:vAlign w:val="center"/>
          </w:tcPr>
          <w:p w14:paraId="6543D8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4.81±0.05</w:t>
            </w:r>
          </w:p>
        </w:tc>
      </w:tr>
      <w:tr w14:paraId="47E8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592" w:type="pct"/>
            <w:vMerge w:val="continue"/>
            <w:shd w:val="clear" w:color="auto" w:fill="auto"/>
            <w:noWrap/>
            <w:vAlign w:val="center"/>
          </w:tcPr>
          <w:p w14:paraId="0672B7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p>
        </w:tc>
        <w:tc>
          <w:tcPr>
            <w:tcW w:w="510" w:type="pct"/>
            <w:shd w:val="clear" w:color="auto" w:fill="auto"/>
            <w:noWrap/>
            <w:vAlign w:val="center"/>
          </w:tcPr>
          <w:p w14:paraId="2A6DC8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T2</w:t>
            </w:r>
          </w:p>
        </w:tc>
        <w:tc>
          <w:tcPr>
            <w:tcW w:w="789" w:type="pct"/>
            <w:shd w:val="clear" w:color="auto" w:fill="auto"/>
            <w:noWrap/>
            <w:vAlign w:val="center"/>
          </w:tcPr>
          <w:p w14:paraId="295ACD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5.32±0.05</w:t>
            </w:r>
          </w:p>
        </w:tc>
        <w:tc>
          <w:tcPr>
            <w:tcW w:w="746" w:type="pct"/>
            <w:shd w:val="clear" w:color="auto" w:fill="auto"/>
            <w:noWrap/>
            <w:vAlign w:val="center"/>
          </w:tcPr>
          <w:p w14:paraId="0DA3B8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5.13±0.05</w:t>
            </w:r>
          </w:p>
        </w:tc>
        <w:tc>
          <w:tcPr>
            <w:tcW w:w="765" w:type="pct"/>
            <w:shd w:val="clear" w:color="auto" w:fill="auto"/>
            <w:noWrap/>
            <w:vAlign w:val="center"/>
          </w:tcPr>
          <w:p w14:paraId="66A041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4.95±0.04</w:t>
            </w:r>
          </w:p>
        </w:tc>
        <w:tc>
          <w:tcPr>
            <w:tcW w:w="792" w:type="pct"/>
            <w:shd w:val="clear" w:color="auto" w:fill="auto"/>
            <w:noWrap/>
            <w:vAlign w:val="center"/>
          </w:tcPr>
          <w:p w14:paraId="2594FD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4.76±0.05</w:t>
            </w:r>
          </w:p>
        </w:tc>
        <w:tc>
          <w:tcPr>
            <w:tcW w:w="803" w:type="pct"/>
            <w:shd w:val="clear" w:color="auto" w:fill="auto"/>
            <w:noWrap/>
            <w:vAlign w:val="center"/>
          </w:tcPr>
          <w:p w14:paraId="438FBC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4.58±0.04</w:t>
            </w:r>
          </w:p>
        </w:tc>
      </w:tr>
      <w:tr w14:paraId="7A83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592" w:type="pct"/>
            <w:vMerge w:val="continue"/>
            <w:shd w:val="clear" w:color="auto" w:fill="auto"/>
            <w:noWrap/>
            <w:vAlign w:val="center"/>
          </w:tcPr>
          <w:p w14:paraId="216169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p>
        </w:tc>
        <w:tc>
          <w:tcPr>
            <w:tcW w:w="510" w:type="pct"/>
            <w:shd w:val="clear" w:color="auto" w:fill="auto"/>
            <w:noWrap/>
            <w:vAlign w:val="center"/>
          </w:tcPr>
          <w:p w14:paraId="24055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T3</w:t>
            </w:r>
          </w:p>
        </w:tc>
        <w:tc>
          <w:tcPr>
            <w:tcW w:w="789" w:type="pct"/>
            <w:shd w:val="clear" w:color="auto" w:fill="auto"/>
            <w:noWrap/>
            <w:vAlign w:val="center"/>
          </w:tcPr>
          <w:p w14:paraId="1A3503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5.32±0.05</w:t>
            </w:r>
          </w:p>
        </w:tc>
        <w:tc>
          <w:tcPr>
            <w:tcW w:w="746" w:type="pct"/>
            <w:shd w:val="clear" w:color="auto" w:fill="auto"/>
            <w:noWrap/>
            <w:vAlign w:val="center"/>
          </w:tcPr>
          <w:p w14:paraId="7E0DD1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5.02±0.04</w:t>
            </w:r>
          </w:p>
        </w:tc>
        <w:tc>
          <w:tcPr>
            <w:tcW w:w="765" w:type="pct"/>
            <w:shd w:val="clear" w:color="auto" w:fill="auto"/>
            <w:noWrap/>
            <w:vAlign w:val="center"/>
          </w:tcPr>
          <w:p w14:paraId="0BF9DC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4.78±0.05</w:t>
            </w:r>
          </w:p>
        </w:tc>
        <w:tc>
          <w:tcPr>
            <w:tcW w:w="792" w:type="pct"/>
            <w:shd w:val="clear" w:color="auto" w:fill="auto"/>
            <w:noWrap/>
            <w:vAlign w:val="center"/>
          </w:tcPr>
          <w:p w14:paraId="0261FA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4.49±0.04</w:t>
            </w:r>
          </w:p>
        </w:tc>
        <w:tc>
          <w:tcPr>
            <w:tcW w:w="803" w:type="pct"/>
            <w:shd w:val="clear" w:color="auto" w:fill="auto"/>
            <w:noWrap/>
            <w:vAlign w:val="center"/>
          </w:tcPr>
          <w:p w14:paraId="6A4FCF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4.23±0.05</w:t>
            </w:r>
          </w:p>
        </w:tc>
      </w:tr>
      <w:tr w14:paraId="2B3F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592" w:type="pct"/>
            <w:vMerge w:val="restart"/>
            <w:shd w:val="clear" w:color="auto" w:fill="auto"/>
            <w:noWrap/>
            <w:vAlign w:val="top"/>
          </w:tcPr>
          <w:p w14:paraId="38C3A3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维生素C含量（mg/100g）</w:t>
            </w:r>
          </w:p>
        </w:tc>
        <w:tc>
          <w:tcPr>
            <w:tcW w:w="510" w:type="pct"/>
            <w:shd w:val="clear" w:color="auto" w:fill="auto"/>
            <w:noWrap/>
            <w:vAlign w:val="top"/>
          </w:tcPr>
          <w:p w14:paraId="3B38E4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T1</w:t>
            </w:r>
          </w:p>
        </w:tc>
        <w:tc>
          <w:tcPr>
            <w:tcW w:w="789" w:type="pct"/>
            <w:shd w:val="clear" w:color="auto" w:fill="auto"/>
            <w:noWrap/>
            <w:vAlign w:val="top"/>
          </w:tcPr>
          <w:p w14:paraId="643C38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42.65±0.32</w:t>
            </w:r>
          </w:p>
        </w:tc>
        <w:tc>
          <w:tcPr>
            <w:tcW w:w="746" w:type="pct"/>
            <w:shd w:val="clear" w:color="auto" w:fill="auto"/>
            <w:noWrap/>
            <w:vAlign w:val="top"/>
          </w:tcPr>
          <w:p w14:paraId="457CD3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40.18±0.29</w:t>
            </w:r>
          </w:p>
        </w:tc>
        <w:tc>
          <w:tcPr>
            <w:tcW w:w="765" w:type="pct"/>
            <w:shd w:val="clear" w:color="auto" w:fill="auto"/>
            <w:noWrap/>
            <w:vAlign w:val="top"/>
          </w:tcPr>
          <w:p w14:paraId="6C3EA7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38.64±0.31</w:t>
            </w:r>
          </w:p>
        </w:tc>
        <w:tc>
          <w:tcPr>
            <w:tcW w:w="792" w:type="pct"/>
            <w:shd w:val="clear" w:color="auto" w:fill="auto"/>
            <w:noWrap/>
            <w:vAlign w:val="top"/>
          </w:tcPr>
          <w:p w14:paraId="3A7574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35.92±0.28</w:t>
            </w:r>
          </w:p>
        </w:tc>
        <w:tc>
          <w:tcPr>
            <w:tcW w:w="803" w:type="pct"/>
            <w:shd w:val="clear" w:color="auto" w:fill="auto"/>
            <w:noWrap/>
            <w:vAlign w:val="top"/>
          </w:tcPr>
          <w:p w14:paraId="0923C8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32.37±0.30</w:t>
            </w:r>
          </w:p>
        </w:tc>
      </w:tr>
      <w:tr w14:paraId="38F9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92" w:type="pct"/>
            <w:vMerge w:val="continue"/>
            <w:shd w:val="clear" w:color="auto" w:fill="auto"/>
            <w:noWrap/>
            <w:vAlign w:val="top"/>
          </w:tcPr>
          <w:p w14:paraId="1A7475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p>
        </w:tc>
        <w:tc>
          <w:tcPr>
            <w:tcW w:w="510" w:type="pct"/>
            <w:shd w:val="clear" w:color="auto" w:fill="auto"/>
            <w:noWrap/>
            <w:vAlign w:val="top"/>
          </w:tcPr>
          <w:p w14:paraId="33992E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T2</w:t>
            </w:r>
          </w:p>
        </w:tc>
        <w:tc>
          <w:tcPr>
            <w:tcW w:w="789" w:type="pct"/>
            <w:shd w:val="clear" w:color="auto" w:fill="auto"/>
            <w:noWrap/>
            <w:vAlign w:val="top"/>
          </w:tcPr>
          <w:p w14:paraId="11B219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42.65±0.32</w:t>
            </w:r>
          </w:p>
        </w:tc>
        <w:tc>
          <w:tcPr>
            <w:tcW w:w="746" w:type="pct"/>
            <w:shd w:val="clear" w:color="auto" w:fill="auto"/>
            <w:noWrap/>
            <w:vAlign w:val="top"/>
          </w:tcPr>
          <w:p w14:paraId="1BE08E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39.75±0.30</w:t>
            </w:r>
          </w:p>
        </w:tc>
        <w:tc>
          <w:tcPr>
            <w:tcW w:w="765" w:type="pct"/>
            <w:shd w:val="clear" w:color="auto" w:fill="auto"/>
            <w:noWrap/>
            <w:vAlign w:val="top"/>
          </w:tcPr>
          <w:p w14:paraId="71A4E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35.91±0.29</w:t>
            </w:r>
          </w:p>
        </w:tc>
        <w:tc>
          <w:tcPr>
            <w:tcW w:w="792" w:type="pct"/>
            <w:shd w:val="clear" w:color="auto" w:fill="auto"/>
            <w:noWrap/>
            <w:vAlign w:val="top"/>
          </w:tcPr>
          <w:p w14:paraId="049823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31.86±0.31</w:t>
            </w:r>
          </w:p>
        </w:tc>
        <w:tc>
          <w:tcPr>
            <w:tcW w:w="803" w:type="pct"/>
            <w:shd w:val="clear" w:color="auto" w:fill="auto"/>
            <w:noWrap/>
            <w:vAlign w:val="top"/>
          </w:tcPr>
          <w:p w14:paraId="1C5ACC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28.49±0.28</w:t>
            </w:r>
          </w:p>
        </w:tc>
      </w:tr>
      <w:tr w14:paraId="1A92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592" w:type="pct"/>
            <w:vMerge w:val="continue"/>
            <w:shd w:val="clear" w:color="auto" w:fill="auto"/>
            <w:noWrap/>
            <w:vAlign w:val="top"/>
          </w:tcPr>
          <w:p w14:paraId="2AA090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p>
        </w:tc>
        <w:tc>
          <w:tcPr>
            <w:tcW w:w="510" w:type="pct"/>
            <w:shd w:val="clear" w:color="auto" w:fill="auto"/>
            <w:noWrap/>
            <w:vAlign w:val="top"/>
          </w:tcPr>
          <w:p w14:paraId="08A4C0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T3</w:t>
            </w:r>
          </w:p>
        </w:tc>
        <w:tc>
          <w:tcPr>
            <w:tcW w:w="789" w:type="pct"/>
            <w:shd w:val="clear" w:color="auto" w:fill="auto"/>
            <w:noWrap/>
            <w:vAlign w:val="top"/>
          </w:tcPr>
          <w:p w14:paraId="55F6EC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42.65±0.32</w:t>
            </w:r>
          </w:p>
        </w:tc>
        <w:tc>
          <w:tcPr>
            <w:tcW w:w="746" w:type="pct"/>
            <w:shd w:val="clear" w:color="auto" w:fill="auto"/>
            <w:noWrap/>
            <w:vAlign w:val="top"/>
          </w:tcPr>
          <w:p w14:paraId="470E2D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38.39±0.28</w:t>
            </w:r>
          </w:p>
        </w:tc>
        <w:tc>
          <w:tcPr>
            <w:tcW w:w="765" w:type="pct"/>
            <w:shd w:val="clear" w:color="auto" w:fill="auto"/>
            <w:noWrap/>
            <w:vAlign w:val="top"/>
          </w:tcPr>
          <w:p w14:paraId="2A0347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33.75±0.30</w:t>
            </w:r>
          </w:p>
        </w:tc>
        <w:tc>
          <w:tcPr>
            <w:tcW w:w="792" w:type="pct"/>
            <w:shd w:val="clear" w:color="auto" w:fill="auto"/>
            <w:noWrap/>
            <w:vAlign w:val="top"/>
          </w:tcPr>
          <w:p w14:paraId="33C28A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29.34±0.29</w:t>
            </w:r>
          </w:p>
        </w:tc>
        <w:tc>
          <w:tcPr>
            <w:tcW w:w="803" w:type="pct"/>
            <w:shd w:val="clear" w:color="auto" w:fill="auto"/>
            <w:noWrap/>
            <w:vAlign w:val="top"/>
          </w:tcPr>
          <w:p w14:paraId="56D94E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26.16±0.31</w:t>
            </w:r>
          </w:p>
        </w:tc>
      </w:tr>
    </w:tbl>
    <w:p w14:paraId="69FD8B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lang w:val="en-US" w:eastAsia="zh-CN"/>
        </w:rPr>
        <w:t xml:space="preserve">5.2.4 </w:t>
      </w:r>
      <w:r>
        <w:rPr>
          <w:rFonts w:hint="eastAsia" w:ascii="Times New Roman" w:hAnsi="Times New Roman" w:eastAsia="仿宋_GB2312" w:cs="Times New Roman"/>
          <w:kern w:val="0"/>
          <w:sz w:val="32"/>
          <w:szCs w:val="32"/>
          <w:lang w:val="en-US" w:eastAsia="zh-CN"/>
        </w:rPr>
        <w:t>结论</w:t>
      </w:r>
    </w:p>
    <w:p w14:paraId="15292E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甘蓝核心温度预冷至0</w:t>
      </w:r>
      <w:r>
        <w:rPr>
          <w:rFonts w:hint="eastAsia" w:ascii="Times New Roman" w:hAnsi="Times New Roman" w:eastAsia="仿宋" w:cs="Times New Roman"/>
          <w:kern w:val="0"/>
          <w:sz w:val="32"/>
          <w:szCs w:val="32"/>
          <w:lang w:val="en-US" w:eastAsia="zh-CN"/>
        </w:rPr>
        <w:t>℃</w:t>
      </w:r>
      <w:r>
        <w:rPr>
          <w:rFonts w:hint="eastAsia" w:ascii="Times New Roman" w:hAnsi="Times New Roman" w:eastAsia="仿宋_GB2312" w:cs="Times New Roman"/>
          <w:kern w:val="0"/>
          <w:sz w:val="32"/>
          <w:szCs w:val="32"/>
          <w:lang w:val="en-US" w:eastAsia="zh-CN"/>
        </w:rPr>
        <w:t>-2℃时，虽预冷时间最长，但贮藏20 d后失重率、腐烂率最低，可溶性固形物、维生素C含量保留最多，保鲜效果最优。预冷核心温度4</w:t>
      </w:r>
      <w:r>
        <w:rPr>
          <w:rFonts w:hint="eastAsia" w:ascii="Times New Roman" w:hAnsi="Times New Roman" w:eastAsia="仿宋" w:cs="Times New Roman"/>
          <w:kern w:val="0"/>
          <w:sz w:val="32"/>
          <w:szCs w:val="32"/>
          <w:lang w:val="en-US" w:eastAsia="zh-CN"/>
        </w:rPr>
        <w:t>℃</w:t>
      </w:r>
      <w:r>
        <w:rPr>
          <w:rFonts w:hint="eastAsia" w:ascii="Times New Roman" w:hAnsi="Times New Roman" w:eastAsia="仿宋_GB2312" w:cs="Times New Roman"/>
          <w:kern w:val="0"/>
          <w:sz w:val="32"/>
          <w:szCs w:val="32"/>
          <w:lang w:val="en-US" w:eastAsia="zh-CN"/>
        </w:rPr>
        <w:t>-6℃时，预冷速度最快，但甘蓝贮藏期品质劣变迅速，不适宜长期保鲜。</w:t>
      </w:r>
    </w:p>
    <w:p w14:paraId="18E759B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Times New Roman" w:hAnsi="Times New Roman" w:eastAsia="楷体_GB2312" w:cs="Times New Roman"/>
          <w:sz w:val="32"/>
          <w:szCs w:val="32"/>
        </w:rPr>
      </w:pPr>
      <w:r>
        <w:rPr>
          <w:rFonts w:hint="eastAsia" w:ascii="Times New Roman" w:hAnsi="Times New Roman" w:eastAsia="仿宋_GB2312" w:cs="Times New Roman"/>
          <w:kern w:val="0"/>
          <w:sz w:val="32"/>
          <w:szCs w:val="32"/>
          <w:lang w:val="en-US" w:eastAsia="zh-CN"/>
        </w:rPr>
        <w:t>综合预冷效率与保鲜效果，贮藏推荐0</w:t>
      </w:r>
      <w:r>
        <w:rPr>
          <w:rFonts w:hint="eastAsia" w:ascii="Times New Roman" w:hAnsi="Times New Roman" w:eastAsia="仿宋" w:cs="Times New Roman"/>
          <w:kern w:val="0"/>
          <w:sz w:val="32"/>
          <w:szCs w:val="32"/>
          <w:lang w:val="en-US" w:eastAsia="zh-CN"/>
        </w:rPr>
        <w:t>℃</w:t>
      </w:r>
      <w:r>
        <w:rPr>
          <w:rFonts w:hint="eastAsia" w:ascii="Times New Roman" w:hAnsi="Times New Roman" w:eastAsia="仿宋_GB2312" w:cs="Times New Roman"/>
          <w:kern w:val="0"/>
          <w:sz w:val="32"/>
          <w:szCs w:val="32"/>
          <w:lang w:val="en-US" w:eastAsia="zh-CN"/>
        </w:rPr>
        <w:t>-2℃作为甘蓝预冷核心温度。</w:t>
      </w:r>
    </w:p>
    <w:p w14:paraId="5CC338E0">
      <w:pPr>
        <w:spacing w:line="360" w:lineRule="auto"/>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六、重大意见分歧和处理依据和结果</w:t>
      </w:r>
    </w:p>
    <w:p w14:paraId="32F539D5">
      <w:pPr>
        <w:spacing w:line="360" w:lineRule="auto"/>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无重大意见分歧。</w:t>
      </w:r>
    </w:p>
    <w:p w14:paraId="29255046">
      <w:p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征求意见</w:t>
      </w:r>
      <w:r>
        <w:rPr>
          <w:rFonts w:hint="eastAsia" w:ascii="Times New Roman" w:hAnsi="Times New Roman" w:eastAsia="仿宋_GB2312" w:cs="Times New Roman"/>
          <w:kern w:val="0"/>
          <w:sz w:val="32"/>
          <w:szCs w:val="32"/>
          <w:lang w:eastAsia="zh-CN"/>
        </w:rPr>
        <w:t>阶段</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位专家共提出意见、建议</w:t>
      </w:r>
      <w:r>
        <w:rPr>
          <w:rFonts w:hint="eastAsia" w:ascii="Times New Roman" w:hAnsi="Times New Roman" w:eastAsia="仿宋_GB2312" w:cs="Times New Roman"/>
          <w:kern w:val="0"/>
          <w:sz w:val="32"/>
          <w:szCs w:val="32"/>
          <w:lang w:val="en-US" w:eastAsia="zh-CN"/>
        </w:rPr>
        <w:t>10</w:t>
      </w:r>
      <w:r>
        <w:rPr>
          <w:rFonts w:hint="eastAsia" w:ascii="Times New Roman" w:hAnsi="Times New Roman" w:eastAsia="仿宋_GB2312" w:cs="Times New Roman"/>
          <w:kern w:val="0"/>
          <w:sz w:val="32"/>
          <w:szCs w:val="32"/>
        </w:rPr>
        <w:t>条，全部采纳，征求意见汇总处理表见附件1。</w:t>
      </w:r>
      <w:bookmarkStart w:id="2" w:name="OLE_LINK19"/>
      <w:bookmarkStart w:id="3" w:name="OLE_LINK18"/>
    </w:p>
    <w:p w14:paraId="37FB3B88">
      <w:p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技术审查阶段，专家共提出意见建议</w:t>
      </w:r>
      <w:r>
        <w:rPr>
          <w:rFonts w:hint="eastAsia" w:ascii="Times New Roman" w:hAnsi="Times New Roman" w:eastAsia="仿宋_GB2312" w:cs="Times New Roman"/>
          <w:kern w:val="0"/>
          <w:sz w:val="32"/>
          <w:szCs w:val="32"/>
          <w:lang w:val="en-US" w:eastAsia="zh-CN"/>
        </w:rPr>
        <w:t>8</w:t>
      </w:r>
      <w:r>
        <w:rPr>
          <w:rFonts w:hint="eastAsia" w:ascii="Times New Roman" w:hAnsi="Times New Roman" w:eastAsia="仿宋_GB2312" w:cs="Times New Roman"/>
          <w:kern w:val="0"/>
          <w:sz w:val="32"/>
          <w:szCs w:val="32"/>
          <w:lang w:eastAsia="zh-CN"/>
        </w:rPr>
        <w:t>条，全部采纳，</w:t>
      </w:r>
      <w:r>
        <w:rPr>
          <w:rFonts w:hint="eastAsia" w:ascii="Times New Roman" w:hAnsi="Times New Roman" w:eastAsia="仿宋_GB2312" w:cs="Times New Roman"/>
          <w:kern w:val="0"/>
          <w:sz w:val="32"/>
          <w:szCs w:val="32"/>
        </w:rPr>
        <w:t>征求意见汇总处理表见附件</w:t>
      </w:r>
      <w:r>
        <w:rPr>
          <w:rFonts w:hint="eastAsia" w:ascii="Times New Roman" w:hAnsi="Times New Roman" w:eastAsia="仿宋_GB2312" w:cs="Times New Roman"/>
          <w:kern w:val="0"/>
          <w:sz w:val="32"/>
          <w:szCs w:val="32"/>
          <w:lang w:val="en-US" w:eastAsia="zh-CN"/>
        </w:rPr>
        <w:t>2</w:t>
      </w:r>
      <w:r>
        <w:rPr>
          <w:rFonts w:hint="eastAsia" w:ascii="Times New Roman" w:hAnsi="Times New Roman" w:eastAsia="仿宋_GB2312" w:cs="Times New Roman"/>
          <w:kern w:val="0"/>
          <w:sz w:val="32"/>
          <w:szCs w:val="32"/>
        </w:rPr>
        <w:t>。</w:t>
      </w:r>
    </w:p>
    <w:bookmarkEnd w:id="2"/>
    <w:bookmarkEnd w:id="3"/>
    <w:p w14:paraId="4DAA24DE">
      <w:pPr>
        <w:spacing w:line="360" w:lineRule="auto"/>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七、贯彻实施标准的要求、措施等建议</w:t>
      </w:r>
    </w:p>
    <w:p w14:paraId="45AD3A78">
      <w:pPr>
        <w:spacing w:line="360" w:lineRule="auto"/>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（一）技术措施</w:t>
      </w:r>
    </w:p>
    <w:p w14:paraId="54E7109C">
      <w:pPr>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该标准发布后，标准制定、归口单位将组织我省</w:t>
      </w:r>
      <w:r>
        <w:rPr>
          <w:rFonts w:hint="eastAsia" w:ascii="Times New Roman" w:hAnsi="Times New Roman" w:eastAsia="仿宋_GB2312" w:cs="Times New Roman"/>
          <w:kern w:val="0"/>
          <w:sz w:val="32"/>
          <w:szCs w:val="32"/>
          <w:lang w:eastAsia="zh-CN"/>
        </w:rPr>
        <w:t>甘蓝类蔬菜</w:t>
      </w:r>
      <w:r>
        <w:rPr>
          <w:rFonts w:hint="eastAsia" w:ascii="Times New Roman" w:hAnsi="Times New Roman" w:eastAsia="仿宋_GB2312" w:cs="Times New Roman"/>
          <w:kern w:val="0"/>
          <w:sz w:val="32"/>
          <w:szCs w:val="32"/>
        </w:rPr>
        <w:t>生产单位对该标准进行学习、实施及相应的培训工作。要求熟练撑握</w:t>
      </w:r>
      <w:r>
        <w:rPr>
          <w:rFonts w:hint="eastAsia" w:ascii="Times New Roman" w:hAnsi="Times New Roman" w:eastAsia="仿宋_GB2312" w:cs="Times New Roman"/>
          <w:kern w:val="0"/>
          <w:sz w:val="32"/>
          <w:szCs w:val="32"/>
          <w:lang w:eastAsia="zh-CN"/>
        </w:rPr>
        <w:t>甘蓝采后商品化处理</w:t>
      </w:r>
      <w:r>
        <w:rPr>
          <w:rFonts w:hint="eastAsia" w:ascii="Times New Roman" w:hAnsi="Times New Roman" w:eastAsia="仿宋_GB2312" w:cs="Times New Roman"/>
          <w:kern w:val="0"/>
          <w:sz w:val="32"/>
          <w:szCs w:val="32"/>
        </w:rPr>
        <w:t>，在生产中能够合理运用相应</w:t>
      </w:r>
      <w:r>
        <w:rPr>
          <w:rFonts w:hint="eastAsia" w:ascii="Times New Roman" w:hAnsi="Times New Roman" w:eastAsia="仿宋_GB2312" w:cs="Times New Roman"/>
          <w:kern w:val="0"/>
          <w:sz w:val="32"/>
          <w:szCs w:val="32"/>
          <w:lang w:eastAsia="zh-CN"/>
        </w:rPr>
        <w:t>甘蓝类蔬菜</w:t>
      </w:r>
      <w:r>
        <w:rPr>
          <w:rFonts w:hint="eastAsia" w:ascii="Times New Roman" w:hAnsi="Times New Roman" w:eastAsia="仿宋_GB2312" w:cs="Times New Roman"/>
          <w:kern w:val="0"/>
          <w:sz w:val="32"/>
          <w:szCs w:val="32"/>
        </w:rPr>
        <w:t>采后商品化处理技术</w:t>
      </w:r>
      <w:r>
        <w:rPr>
          <w:rFonts w:hint="eastAsia" w:ascii="Times New Roman" w:hAnsi="Times New Roman" w:eastAsia="仿宋_GB2312" w:cs="Times New Roman"/>
          <w:kern w:val="0"/>
          <w:sz w:val="32"/>
          <w:szCs w:val="32"/>
          <w:lang w:eastAsia="zh-CN"/>
        </w:rPr>
        <w:t>规范</w:t>
      </w:r>
      <w:r>
        <w:rPr>
          <w:rFonts w:hint="eastAsia" w:ascii="Times New Roman" w:hAnsi="Times New Roman" w:eastAsia="仿宋_GB2312" w:cs="Times New Roman"/>
          <w:kern w:val="0"/>
          <w:sz w:val="32"/>
          <w:szCs w:val="32"/>
        </w:rPr>
        <w:t>及配套的相关技术。</w:t>
      </w:r>
    </w:p>
    <w:p w14:paraId="180EF205">
      <w:pPr>
        <w:spacing w:line="360" w:lineRule="auto"/>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（二）管理措施</w:t>
      </w:r>
    </w:p>
    <w:p w14:paraId="2A7425A7">
      <w:pPr>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在</w:t>
      </w:r>
      <w:r>
        <w:rPr>
          <w:rFonts w:hint="eastAsia" w:ascii="Times New Roman" w:hAnsi="Times New Roman" w:eastAsia="仿宋_GB2312" w:cs="Times New Roman"/>
          <w:kern w:val="0"/>
          <w:sz w:val="32"/>
          <w:szCs w:val="32"/>
          <w:lang w:eastAsia="zh-CN"/>
        </w:rPr>
        <w:t>甘蓝采后商品化处理</w:t>
      </w:r>
      <w:r>
        <w:rPr>
          <w:rFonts w:hint="eastAsia" w:ascii="Times New Roman" w:hAnsi="Times New Roman" w:eastAsia="仿宋_GB2312" w:cs="Times New Roman"/>
          <w:kern w:val="0"/>
          <w:sz w:val="32"/>
          <w:szCs w:val="32"/>
        </w:rPr>
        <w:t>过程中严格遵循</w:t>
      </w:r>
      <w:r>
        <w:rPr>
          <w:rFonts w:hint="eastAsia" w:ascii="Times New Roman" w:hAnsi="Times New Roman" w:eastAsia="仿宋_GB2312" w:cs="Times New Roman"/>
          <w:color w:val="000000" w:themeColor="text1"/>
          <w:kern w:val="0"/>
          <w:sz w:val="32"/>
          <w:szCs w:val="32"/>
          <w14:textFill>
            <w14:solidFill>
              <w14:schemeClr w14:val="tx1"/>
            </w14:solidFill>
          </w14:textFill>
        </w:rPr>
        <w:t>以</w:t>
      </w:r>
      <w:r>
        <w:rPr>
          <w:rFonts w:hint="eastAsia" w:ascii="Times New Roman" w:hAnsi="Times New Roman" w:eastAsia="仿宋_GB2312" w:cs="Times New Roman"/>
          <w:kern w:val="0"/>
          <w:sz w:val="32"/>
          <w:szCs w:val="32"/>
          <w:lang w:eastAsia="zh-CN"/>
        </w:rPr>
        <w:t>甘蓝类蔬菜</w:t>
      </w:r>
      <w:r>
        <w:rPr>
          <w:rFonts w:hint="eastAsia" w:ascii="Times New Roman" w:hAnsi="Times New Roman" w:eastAsia="仿宋_GB2312" w:cs="Times New Roman"/>
          <w:kern w:val="0"/>
          <w:sz w:val="32"/>
          <w:szCs w:val="32"/>
        </w:rPr>
        <w:t>采后商品化处理技术</w:t>
      </w:r>
      <w:r>
        <w:rPr>
          <w:rFonts w:hint="eastAsia" w:ascii="Times New Roman" w:hAnsi="Times New Roman" w:eastAsia="仿宋_GB2312" w:cs="Times New Roman"/>
          <w:kern w:val="0"/>
          <w:sz w:val="32"/>
          <w:szCs w:val="32"/>
          <w:lang w:eastAsia="zh-CN"/>
        </w:rPr>
        <w:t>规范</w:t>
      </w:r>
      <w:r>
        <w:rPr>
          <w:rFonts w:hint="eastAsia" w:ascii="Times New Roman" w:hAnsi="Times New Roman" w:eastAsia="仿宋_GB2312" w:cs="Times New Roman"/>
          <w:kern w:val="0"/>
          <w:sz w:val="32"/>
          <w:szCs w:val="32"/>
        </w:rPr>
        <w:t>，采收后严格按品种、大小、成熟度依据NY/T 1586标准进行分级。</w:t>
      </w:r>
      <w:r>
        <w:rPr>
          <w:rFonts w:hint="eastAsia" w:ascii="Times New Roman" w:hAnsi="Times New Roman" w:eastAsia="仿宋_GB2312" w:cs="Times New Roman"/>
          <w:kern w:val="0"/>
          <w:sz w:val="32"/>
          <w:szCs w:val="32"/>
          <w:lang w:eastAsia="zh-CN"/>
        </w:rPr>
        <w:t>同时，</w:t>
      </w:r>
      <w:r>
        <w:rPr>
          <w:rFonts w:hint="eastAsia" w:ascii="Times New Roman" w:hAnsi="Times New Roman" w:eastAsia="仿宋_GB2312" w:cs="Times New Roman"/>
          <w:kern w:val="0"/>
          <w:sz w:val="32"/>
          <w:szCs w:val="32"/>
        </w:rPr>
        <w:t>标识需包含品名、级别、净含量、生产厂家等信息，符合GB/T 191和GB 7718等标准要求。</w:t>
      </w:r>
    </w:p>
    <w:p w14:paraId="504C1CC3">
      <w:pPr>
        <w:spacing w:line="360" w:lineRule="auto"/>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（三）建议</w:t>
      </w:r>
    </w:p>
    <w:p w14:paraId="48B296DA">
      <w:pPr>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由于本标准各项指标的确定是在国家现有相关标准的基础上，经过试验的各项数据分析和验证后提出的，因此本标准具有严密的科学性、又具有较强的可操作性，用于指导和规范</w:t>
      </w:r>
      <w:r>
        <w:rPr>
          <w:rFonts w:hint="eastAsia" w:ascii="Times New Roman" w:hAnsi="Times New Roman" w:eastAsia="仿宋_GB2312" w:cs="Times New Roman"/>
          <w:kern w:val="0"/>
          <w:sz w:val="32"/>
          <w:szCs w:val="32"/>
          <w:lang w:eastAsia="zh-CN"/>
        </w:rPr>
        <w:t>甘蓝类蔬菜</w:t>
      </w:r>
      <w:r>
        <w:rPr>
          <w:rFonts w:hint="eastAsia" w:ascii="Times New Roman" w:hAnsi="Times New Roman" w:eastAsia="仿宋_GB2312" w:cs="Times New Roman"/>
          <w:kern w:val="0"/>
          <w:sz w:val="32"/>
          <w:szCs w:val="32"/>
        </w:rPr>
        <w:t>采后商品化处理。</w:t>
      </w:r>
      <w:r>
        <w:rPr>
          <w:rFonts w:hint="eastAsia" w:ascii="Times New Roman" w:hAnsi="Times New Roman" w:eastAsia="仿宋_GB2312" w:cs="Times New Roman"/>
          <w:kern w:val="0"/>
          <w:sz w:val="32"/>
          <w:szCs w:val="32"/>
          <w:lang w:eastAsia="zh-CN"/>
        </w:rPr>
        <w:t>标准实施后要</w:t>
      </w:r>
      <w:r>
        <w:rPr>
          <w:rFonts w:hint="eastAsia" w:ascii="Times New Roman" w:hAnsi="Times New Roman" w:eastAsia="仿宋_GB2312" w:cs="Times New Roman"/>
          <w:kern w:val="0"/>
          <w:sz w:val="32"/>
          <w:szCs w:val="32"/>
        </w:rPr>
        <w:t>加强分层培训与指导</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针对种植户，开展田间采收与初加工实操培训；针对流通企业，聚焦冷链管理与标准解读。联合科研机构与行业协会，提供“一对一”技术指导。</w:t>
      </w:r>
      <w:r>
        <w:rPr>
          <w:rFonts w:hint="eastAsia" w:ascii="Times New Roman" w:hAnsi="Times New Roman" w:eastAsia="仿宋_GB2312" w:cs="Times New Roman"/>
          <w:kern w:val="0"/>
          <w:sz w:val="32"/>
          <w:szCs w:val="32"/>
          <w:lang w:eastAsia="zh-CN"/>
        </w:rPr>
        <w:t>此外，</w:t>
      </w:r>
      <w:r>
        <w:rPr>
          <w:rFonts w:hint="eastAsia" w:ascii="Times New Roman" w:hAnsi="Times New Roman" w:eastAsia="仿宋_GB2312" w:cs="Times New Roman"/>
          <w:kern w:val="0"/>
          <w:sz w:val="32"/>
          <w:szCs w:val="32"/>
        </w:rPr>
        <w:t>结合市场需求变化和保鲜技术创新，定期修订完善技术</w:t>
      </w:r>
      <w:r>
        <w:rPr>
          <w:rFonts w:hint="eastAsia" w:ascii="Times New Roman" w:hAnsi="Times New Roman" w:eastAsia="仿宋_GB2312" w:cs="Times New Roman"/>
          <w:kern w:val="0"/>
          <w:sz w:val="32"/>
          <w:szCs w:val="32"/>
          <w:lang w:eastAsia="zh-CN"/>
        </w:rPr>
        <w:t>规范</w:t>
      </w:r>
      <w:r>
        <w:rPr>
          <w:rFonts w:hint="eastAsia" w:ascii="Times New Roman" w:hAnsi="Times New Roman" w:eastAsia="仿宋_GB2312" w:cs="Times New Roman"/>
          <w:kern w:val="0"/>
          <w:sz w:val="32"/>
          <w:szCs w:val="32"/>
        </w:rPr>
        <w:t>，确保标准的科学性与适用性。</w:t>
      </w:r>
    </w:p>
    <w:p w14:paraId="14DFB999">
      <w:pPr>
        <w:numPr>
          <w:ilvl w:val="0"/>
          <w:numId w:val="6"/>
        </w:numPr>
        <w:spacing w:line="360" w:lineRule="auto"/>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预期的经济、社会效益及其他应说明的事项</w:t>
      </w:r>
    </w:p>
    <w:p w14:paraId="401359AC">
      <w:pPr>
        <w:numPr>
          <w:ilvl w:val="0"/>
          <w:numId w:val="0"/>
        </w:num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黑体" w:cs="Times New Roman"/>
          <w:sz w:val="32"/>
          <w:szCs w:val="32"/>
          <w:lang w:eastAsia="zh-CN"/>
        </w:rPr>
        <w:t>（一）</w:t>
      </w:r>
      <w:r>
        <w:rPr>
          <w:rFonts w:hint="eastAsia" w:ascii="Times New Roman" w:hAnsi="Times New Roman" w:eastAsia="仿宋_GB2312" w:cs="Times New Roman"/>
          <w:kern w:val="0"/>
          <w:sz w:val="32"/>
          <w:szCs w:val="32"/>
        </w:rPr>
        <w:t>预期经济效益</w:t>
      </w:r>
    </w:p>
    <w:p w14:paraId="701ECCE9">
      <w:p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1.降低采后损耗，减少经济损失</w:t>
      </w:r>
      <w:r>
        <w:rPr>
          <w:rFonts w:hint="eastAsia" w:ascii="Times New Roman" w:hAnsi="Times New Roman" w:eastAsia="仿宋_GB2312" w:cs="Times New Roman"/>
          <w:kern w:val="0"/>
          <w:sz w:val="32"/>
          <w:szCs w:val="32"/>
          <w:lang w:eastAsia="zh-CN"/>
        </w:rPr>
        <w:t>。规范</w:t>
      </w:r>
      <w:r>
        <w:rPr>
          <w:rFonts w:hint="eastAsia" w:ascii="Times New Roman" w:hAnsi="Times New Roman" w:eastAsia="仿宋_GB2312" w:cs="Times New Roman"/>
          <w:kern w:val="0"/>
          <w:sz w:val="32"/>
          <w:szCs w:val="32"/>
        </w:rPr>
        <w:t>通过</w:t>
      </w:r>
      <w:r>
        <w:rPr>
          <w:rFonts w:hint="eastAsia" w:ascii="Times New Roman" w:hAnsi="Times New Roman" w:eastAsia="仿宋_GB2312" w:cs="Times New Roman"/>
          <w:kern w:val="0"/>
          <w:sz w:val="32"/>
          <w:szCs w:val="32"/>
          <w:lang w:eastAsia="zh-CN"/>
        </w:rPr>
        <w:t>采摘时间、</w:t>
      </w:r>
      <w:r>
        <w:rPr>
          <w:rFonts w:hint="eastAsia" w:ascii="Times New Roman" w:hAnsi="Times New Roman" w:eastAsia="仿宋_GB2312" w:cs="Times New Roman"/>
          <w:kern w:val="0"/>
          <w:sz w:val="32"/>
          <w:szCs w:val="32"/>
        </w:rPr>
        <w:t>预冷等技术，可有效抑制甘蓝呼吸作用与乙烯代谢，解决常温下易黄化、腐烂的问题，显著降低采收后流通各环节的损耗率，减少生产者和流通商的直接经济损失。</w:t>
      </w:r>
    </w:p>
    <w:p w14:paraId="42716CF8">
      <w:p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2.提升产品品质，实现溢价销售</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标准化的整修、分级、保鲜流程能维持甘蓝的感官品质及总酚、抗坏血酸等营养成分含量，通过分级形成不同品质梯队的产品，满足高端市场需求，参考同类蔬菜标准化效果，可实现产品单价提升，带动种植户收入增长。</w:t>
      </w:r>
    </w:p>
    <w:p w14:paraId="174FA965">
      <w:p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3.延伸产业链条，提高附加值</w:t>
      </w:r>
      <w:r>
        <w:rPr>
          <w:rFonts w:hint="eastAsia" w:ascii="Times New Roman" w:hAnsi="Times New Roman" w:eastAsia="仿宋_GB2312" w:cs="Times New Roman"/>
          <w:kern w:val="0"/>
          <w:sz w:val="32"/>
          <w:szCs w:val="32"/>
          <w:lang w:eastAsia="zh-CN"/>
        </w:rPr>
        <w:t>。规范</w:t>
      </w:r>
      <w:r>
        <w:rPr>
          <w:rFonts w:hint="eastAsia" w:ascii="Times New Roman" w:hAnsi="Times New Roman" w:eastAsia="仿宋_GB2312" w:cs="Times New Roman"/>
          <w:kern w:val="0"/>
          <w:sz w:val="32"/>
          <w:szCs w:val="32"/>
        </w:rPr>
        <w:t>为甘蓝深加工提供稳定原料基础，可推动净菜、脱水甘蓝、甘蓝粉等产品开发，结合标准化加工，产品附加值有望提升，同时配套冷链流通突破运输半径限制，扩大市场覆盖范围。</w:t>
      </w:r>
    </w:p>
    <w:p w14:paraId="44DCC20B">
      <w:p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4.降低经营风险，稳定产业收益</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统一的采收、预冷、运输温度控制等操作规范，能规避因处理方式不规范导致的品质波动，增强市场供应稳定性，帮助从业者稳定经营预期，吸引更多主体参与产业发展。</w:t>
      </w:r>
    </w:p>
    <w:p w14:paraId="036B078C">
      <w:p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（二）</w:t>
      </w:r>
      <w:r>
        <w:rPr>
          <w:rFonts w:hint="eastAsia" w:ascii="Times New Roman" w:hAnsi="Times New Roman" w:eastAsia="仿宋_GB2312" w:cs="Times New Roman"/>
          <w:kern w:val="0"/>
          <w:sz w:val="32"/>
          <w:szCs w:val="32"/>
        </w:rPr>
        <w:t>预期社会效益</w:t>
      </w:r>
    </w:p>
    <w:p w14:paraId="4C7F96F5">
      <w:pPr>
        <w:spacing w:line="360" w:lineRule="auto"/>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eastAsia="zh-CN"/>
        </w:rPr>
        <w:t>标准实施后</w:t>
      </w:r>
      <w:r>
        <w:rPr>
          <w:rFonts w:hint="eastAsia" w:ascii="Times New Roman" w:hAnsi="Times New Roman" w:eastAsia="仿宋_GB2312" w:cs="Times New Roman"/>
          <w:kern w:val="0"/>
          <w:sz w:val="32"/>
          <w:szCs w:val="32"/>
        </w:rPr>
        <w:t>为消费者提供品质稳定、营养保留完好的甘蓝产品，契合公众对新鲜、安全蔬菜的需求。填补了</w:t>
      </w:r>
      <w:r>
        <w:rPr>
          <w:rFonts w:hint="eastAsia" w:ascii="Times New Roman" w:hAnsi="Times New Roman" w:eastAsia="仿宋_GB2312" w:cs="Times New Roman"/>
          <w:kern w:val="0"/>
          <w:sz w:val="32"/>
          <w:szCs w:val="32"/>
          <w:lang w:eastAsia="zh-CN"/>
        </w:rPr>
        <w:t>高原</w:t>
      </w:r>
      <w:r>
        <w:rPr>
          <w:rFonts w:hint="eastAsia" w:ascii="Times New Roman" w:hAnsi="Times New Roman" w:eastAsia="仿宋_GB2312" w:cs="Times New Roman"/>
          <w:kern w:val="0"/>
          <w:sz w:val="32"/>
          <w:szCs w:val="32"/>
        </w:rPr>
        <w:t>甘蓝采后商品化处理环节的标准空白，改变此前无统一技术参数参考、操作随意的现状，推动采收、加工、流通全链条标准化发展，提升甘蓝产业整体规范化水平与竞争力。</w:t>
      </w:r>
      <w:r>
        <w:rPr>
          <w:rFonts w:hint="eastAsia" w:ascii="Times New Roman" w:hAnsi="Times New Roman" w:eastAsia="仿宋_GB2312" w:cs="Times New Roman"/>
          <w:kern w:val="0"/>
          <w:sz w:val="32"/>
          <w:szCs w:val="32"/>
          <w:lang w:eastAsia="zh-CN"/>
        </w:rPr>
        <w:t>同时，</w:t>
      </w:r>
      <w:r>
        <w:rPr>
          <w:rFonts w:hint="eastAsia" w:ascii="Times New Roman" w:hAnsi="Times New Roman" w:eastAsia="仿宋_GB2312" w:cs="Times New Roman"/>
          <w:kern w:val="0"/>
          <w:sz w:val="32"/>
          <w:szCs w:val="32"/>
        </w:rPr>
        <w:t>标准化</w:t>
      </w:r>
      <w:r>
        <w:rPr>
          <w:rFonts w:hint="eastAsia" w:ascii="Times New Roman" w:hAnsi="Times New Roman" w:eastAsia="仿宋_GB2312" w:cs="Times New Roman"/>
          <w:kern w:val="0"/>
          <w:sz w:val="32"/>
          <w:szCs w:val="32"/>
          <w:lang w:eastAsia="zh-CN"/>
        </w:rPr>
        <w:t>采后</w:t>
      </w:r>
      <w:r>
        <w:rPr>
          <w:rFonts w:hint="eastAsia" w:ascii="Times New Roman" w:hAnsi="Times New Roman" w:eastAsia="仿宋_GB2312" w:cs="Times New Roman"/>
          <w:kern w:val="0"/>
          <w:sz w:val="32"/>
          <w:szCs w:val="32"/>
        </w:rPr>
        <w:t>处理的分级、预冷、包装、冷链运输等环节，以及延伸出的深加工产业，可创造大量稳定就业岗位。</w:t>
      </w:r>
      <w:r>
        <w:rPr>
          <w:rFonts w:hint="eastAsia" w:ascii="Times New Roman" w:hAnsi="Times New Roman" w:eastAsia="仿宋_GB2312" w:cs="Times New Roman"/>
          <w:kern w:val="0"/>
          <w:sz w:val="32"/>
          <w:szCs w:val="32"/>
          <w:lang w:eastAsia="zh-CN"/>
        </w:rPr>
        <w:t>此外</w:t>
      </w:r>
      <w:r>
        <w:rPr>
          <w:rFonts w:hint="eastAsia" w:ascii="Times New Roman" w:hAnsi="Times New Roman" w:eastAsia="仿宋_GB2312" w:cs="Times New Roman"/>
          <w:kern w:val="0"/>
          <w:sz w:val="32"/>
          <w:szCs w:val="32"/>
        </w:rPr>
        <w:t>，通过订单种植、保底回收等模式，能带动农户规模化种植，实现户均增收</w:t>
      </w:r>
      <w:r>
        <w:rPr>
          <w:rFonts w:hint="eastAsia" w:ascii="Times New Roman" w:hAnsi="Times New Roman" w:eastAsia="仿宋_GB2312" w:cs="Times New Roman"/>
          <w:kern w:val="0"/>
          <w:sz w:val="32"/>
          <w:szCs w:val="32"/>
          <w:lang w:eastAsia="zh-CN"/>
        </w:rPr>
        <w:t>。</w:t>
      </w:r>
    </w:p>
    <w:p w14:paraId="3E92466F">
      <w:p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三、其他应说明事项</w:t>
      </w:r>
    </w:p>
    <w:p w14:paraId="54A91E96">
      <w:pPr>
        <w:spacing w:line="360" w:lineRule="auto"/>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甘蓝</w:t>
      </w:r>
      <w:r>
        <w:rPr>
          <w:rFonts w:hint="eastAsia" w:ascii="Times New Roman" w:hAnsi="Times New Roman" w:eastAsia="仿宋_GB2312" w:cs="Times New Roman"/>
          <w:kern w:val="0"/>
          <w:sz w:val="32"/>
          <w:szCs w:val="32"/>
          <w:lang w:eastAsia="zh-CN"/>
        </w:rPr>
        <w:t>类蔬菜</w:t>
      </w:r>
      <w:r>
        <w:rPr>
          <w:rFonts w:hint="eastAsia" w:ascii="Times New Roman" w:hAnsi="Times New Roman" w:eastAsia="仿宋_GB2312" w:cs="Times New Roman"/>
          <w:kern w:val="0"/>
          <w:sz w:val="32"/>
          <w:szCs w:val="32"/>
        </w:rPr>
        <w:t>品种多样，不同产区气候、流通条件存在差异，且保鲜技术持续创新，</w:t>
      </w:r>
      <w:r>
        <w:rPr>
          <w:rFonts w:hint="eastAsia" w:ascii="Times New Roman" w:hAnsi="Times New Roman" w:eastAsia="仿宋_GB2312" w:cs="Times New Roman"/>
          <w:kern w:val="0"/>
          <w:sz w:val="32"/>
          <w:szCs w:val="32"/>
          <w:lang w:eastAsia="zh-CN"/>
        </w:rPr>
        <w:t>规范</w:t>
      </w:r>
      <w:r>
        <w:rPr>
          <w:rFonts w:hint="eastAsia" w:ascii="Times New Roman" w:hAnsi="Times New Roman" w:eastAsia="仿宋_GB2312" w:cs="Times New Roman"/>
          <w:kern w:val="0"/>
          <w:sz w:val="32"/>
          <w:szCs w:val="32"/>
        </w:rPr>
        <w:t>实施后需结合实际应用反馈，参考最新科研成果，对技术指标和操作规范进行动态修订完善。</w:t>
      </w:r>
    </w:p>
    <w:p w14:paraId="2CA18096">
      <w:pPr>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建立从产地到销售终端的全链条监督机制，对采收质量、预冷效果、贮藏温湿度、包装标识等关键环节进行核查，确保</w:t>
      </w:r>
      <w:r>
        <w:rPr>
          <w:rFonts w:hint="eastAsia" w:ascii="Times New Roman" w:hAnsi="Times New Roman" w:eastAsia="仿宋_GB2312" w:cs="Times New Roman"/>
          <w:kern w:val="0"/>
          <w:sz w:val="32"/>
          <w:szCs w:val="32"/>
          <w:lang w:eastAsia="zh-CN"/>
        </w:rPr>
        <w:t>规范</w:t>
      </w:r>
      <w:r>
        <w:rPr>
          <w:rFonts w:hint="eastAsia" w:ascii="Times New Roman" w:hAnsi="Times New Roman" w:eastAsia="仿宋_GB2312" w:cs="Times New Roman"/>
          <w:kern w:val="0"/>
          <w:sz w:val="32"/>
          <w:szCs w:val="32"/>
        </w:rPr>
        <w:t>落地执行，避免“标准与实践脱节”。</w:t>
      </w:r>
    </w:p>
    <w:p w14:paraId="2D7E0843">
      <w:pPr>
        <w:jc w:val="right"/>
        <w:rPr>
          <w:rFonts w:ascii="Times New Roman" w:hAnsi="Times New Roman" w:eastAsia="仿宋_GB2312" w:cs="Times New Roman"/>
          <w:kern w:val="0"/>
          <w:sz w:val="32"/>
          <w:szCs w:val="32"/>
        </w:rPr>
      </w:pPr>
    </w:p>
    <w:p w14:paraId="1E16F78C">
      <w:pPr>
        <w:jc w:val="right"/>
        <w:rPr>
          <w:rFonts w:ascii="Times New Roman" w:hAnsi="Times New Roman" w:eastAsia="仿宋_GB2312" w:cs="Times New Roman"/>
          <w:kern w:val="0"/>
          <w:sz w:val="32"/>
          <w:szCs w:val="32"/>
        </w:rPr>
      </w:pPr>
    </w:p>
    <w:p w14:paraId="76758139">
      <w:pPr>
        <w:jc w:val="right"/>
        <w:rPr>
          <w:rFonts w:ascii="Times New Roman" w:hAnsi="Times New Roman" w:eastAsia="仿宋_GB2312" w:cs="Times New Roman"/>
          <w:kern w:val="0"/>
          <w:sz w:val="32"/>
          <w:szCs w:val="32"/>
        </w:rPr>
      </w:pPr>
      <w:bookmarkStart w:id="5" w:name="_GoBack"/>
      <w:bookmarkEnd w:id="5"/>
    </w:p>
    <w:p w14:paraId="5E8CB805">
      <w:pPr>
        <w:jc w:val="right"/>
        <w:rPr>
          <w:rFonts w:ascii="Times New Roman" w:hAnsi="Times New Roman" w:eastAsia="仿宋_GB2312" w:cs="Times New Roman"/>
          <w:kern w:val="0"/>
          <w:sz w:val="32"/>
          <w:szCs w:val="32"/>
        </w:rPr>
      </w:pPr>
    </w:p>
    <w:p w14:paraId="0C170EAD">
      <w:pPr>
        <w:jc w:val="righ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甘蓝类蔬菜</w:t>
      </w:r>
      <w:r>
        <w:rPr>
          <w:rFonts w:hint="eastAsia" w:ascii="Times New Roman" w:hAnsi="Times New Roman" w:eastAsia="仿宋_GB2312" w:cs="Times New Roman"/>
          <w:kern w:val="0"/>
          <w:sz w:val="32"/>
          <w:szCs w:val="32"/>
          <w:lang w:val="en-US" w:eastAsia="zh-CN"/>
        </w:rPr>
        <w:t xml:space="preserve"> </w:t>
      </w:r>
      <w:r>
        <w:rPr>
          <w:rFonts w:hint="eastAsia" w:ascii="Times New Roman" w:hAnsi="Times New Roman" w:eastAsia="仿宋_GB2312" w:cs="Times New Roman"/>
          <w:kern w:val="0"/>
          <w:sz w:val="32"/>
          <w:szCs w:val="32"/>
        </w:rPr>
        <w:t>采后商品化处理技术</w:t>
      </w:r>
      <w:r>
        <w:rPr>
          <w:rFonts w:hint="eastAsia" w:ascii="Times New Roman" w:hAnsi="Times New Roman" w:eastAsia="仿宋_GB2312" w:cs="Times New Roman"/>
          <w:kern w:val="0"/>
          <w:sz w:val="32"/>
          <w:szCs w:val="32"/>
          <w:lang w:eastAsia="zh-CN"/>
        </w:rPr>
        <w:t>规范</w:t>
      </w:r>
      <w:r>
        <w:rPr>
          <w:rFonts w:hint="eastAsia" w:ascii="Times New Roman" w:hAnsi="Times New Roman" w:eastAsia="仿宋_GB2312" w:cs="Times New Roman"/>
          <w:kern w:val="0"/>
          <w:sz w:val="32"/>
          <w:szCs w:val="32"/>
        </w:rPr>
        <w:t>》标准起草小组</w:t>
      </w:r>
    </w:p>
    <w:p w14:paraId="077B50CA">
      <w:pPr>
        <w:jc w:val="right"/>
        <w:rPr>
          <w:rFonts w:ascii="Times New Roman" w:hAnsi="Times New Roman" w:eastAsia="仿宋_GB2312" w:cs="Times New Roman"/>
          <w:kern w:val="0"/>
          <w:sz w:val="32"/>
          <w:szCs w:val="32"/>
        </w:rPr>
      </w:pPr>
      <w:r>
        <w:rPr>
          <w:rFonts w:hint="eastAsia" w:ascii="Times New Roman" w:hAnsi="Times New Roman" w:eastAsia="仿宋_GB2312" w:cs="Times New Roman"/>
          <w:sz w:val="32"/>
          <w:szCs w:val="32"/>
        </w:rPr>
        <w:t>二〇二</w:t>
      </w:r>
      <w:r>
        <w:rPr>
          <w:rFonts w:hint="eastAsia" w:ascii="Times New Roman" w:hAnsi="Times New Roman" w:eastAsia="仿宋_GB2312" w:cs="Times New Roman"/>
          <w:sz w:val="32"/>
          <w:szCs w:val="32"/>
          <w:lang w:eastAsia="zh-CN"/>
        </w:rPr>
        <w:t>五</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日</w:t>
      </w:r>
    </w:p>
    <w:p w14:paraId="7EEDE552">
      <w:pPr>
        <w:spacing w:line="300" w:lineRule="auto"/>
        <w:ind w:firstLine="640" w:firstLineChars="200"/>
        <w:rPr>
          <w:rFonts w:ascii="Times New Roman" w:hAnsi="Times New Roman" w:eastAsia="仿宋_GB2312" w:cs="Times New Roman"/>
          <w:kern w:val="0"/>
          <w:sz w:val="32"/>
          <w:szCs w:val="32"/>
        </w:rPr>
        <w:sectPr>
          <w:footerReference r:id="rId3" w:type="default"/>
          <w:pgSz w:w="11906" w:h="16838"/>
          <w:pgMar w:top="1440" w:right="1797" w:bottom="1440" w:left="1797" w:header="851" w:footer="992" w:gutter="0"/>
          <w:pgBorders>
            <w:top w:val="none" w:sz="0" w:space="0"/>
            <w:left w:val="none" w:sz="0" w:space="0"/>
            <w:bottom w:val="none" w:sz="0" w:space="0"/>
            <w:right w:val="none" w:sz="0" w:space="0"/>
          </w:pgBorders>
          <w:pgNumType w:start="1"/>
          <w:cols w:space="425" w:num="1"/>
          <w:docGrid w:type="linesAndChars" w:linePitch="312" w:charSpace="0"/>
        </w:sectPr>
      </w:pPr>
    </w:p>
    <w:p w14:paraId="33FD88D0">
      <w:pPr>
        <w:jc w:val="left"/>
        <w:rPr>
          <w:rFonts w:hint="eastAsia" w:ascii="Times New Roman" w:hAnsi="Times New Roman" w:eastAsia="仿宋" w:cs="仿宋"/>
          <w:sz w:val="32"/>
          <w:szCs w:val="32"/>
        </w:rPr>
      </w:pPr>
      <w:r>
        <w:rPr>
          <w:rFonts w:hint="eastAsia" w:ascii="Times New Roman" w:hAnsi="Times New Roman" w:eastAsia="仿宋" w:cs="仿宋"/>
          <w:sz w:val="32"/>
          <w:szCs w:val="32"/>
        </w:rPr>
        <w:t>附件1：</w:t>
      </w:r>
    </w:p>
    <w:p w14:paraId="76D1795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ascii="Times New Roman" w:hAnsi="Times New Roman"/>
        </w:rPr>
      </w:pPr>
      <w:r>
        <w:rPr>
          <w:rFonts w:ascii="Times New Roman" w:hAnsi="Times New Roman" w:eastAsia="仿宋" w:cs="仿宋"/>
          <w:b/>
          <w:bCs/>
          <w:color w:val="000000"/>
          <w:kern w:val="0"/>
          <w:sz w:val="36"/>
          <w:szCs w:val="36"/>
          <w:lang w:val="en-US" w:eastAsia="zh-CN" w:bidi="ar"/>
        </w:rPr>
        <w:t>团体标准征求意见汇总处理表</w:t>
      </w:r>
    </w:p>
    <w:tbl>
      <w:tblPr>
        <w:tblStyle w:val="9"/>
        <w:tblW w:w="9111" w:type="dxa"/>
        <w:tblInd w:w="-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82"/>
        <w:gridCol w:w="4129"/>
      </w:tblGrid>
      <w:tr w14:paraId="47E61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exact"/>
        </w:trPr>
        <w:tc>
          <w:tcPr>
            <w:tcW w:w="4982" w:type="dxa"/>
            <w:tcBorders>
              <w:tl2br w:val="nil"/>
              <w:tr2bl w:val="nil"/>
            </w:tcBorders>
            <w:vAlign w:val="center"/>
          </w:tcPr>
          <w:p w14:paraId="4D88E0FE">
            <w:pPr>
              <w:keepNext w:val="0"/>
              <w:keepLines w:val="0"/>
              <w:pageBreakBefore w:val="0"/>
              <w:widowControl/>
              <w:suppressLineNumbers w:val="0"/>
              <w:kinsoku/>
              <w:wordWrap/>
              <w:overflowPunct/>
              <w:topLinePunct w:val="0"/>
              <w:autoSpaceDE/>
              <w:autoSpaceDN/>
              <w:bidi w:val="0"/>
              <w:adjustRightInd/>
              <w:snapToGrid/>
              <w:spacing w:after="157" w:afterLines="50" w:line="240" w:lineRule="auto"/>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项目名称:甘蓝类蔬菜 采后商品化处理技术规范</w:t>
            </w:r>
          </w:p>
        </w:tc>
        <w:tc>
          <w:tcPr>
            <w:tcW w:w="4129" w:type="dxa"/>
            <w:tcBorders>
              <w:tl2br w:val="nil"/>
              <w:tr2bl w:val="nil"/>
            </w:tcBorders>
            <w:vAlign w:val="center"/>
          </w:tcPr>
          <w:p w14:paraId="2A453C15">
            <w:pPr>
              <w:keepNext w:val="0"/>
              <w:keepLines w:val="0"/>
              <w:pageBreakBefore w:val="0"/>
              <w:widowControl/>
              <w:suppressLineNumbers w:val="0"/>
              <w:kinsoku/>
              <w:wordWrap/>
              <w:overflowPunct/>
              <w:topLinePunct w:val="0"/>
              <w:autoSpaceDE/>
              <w:autoSpaceDN/>
              <w:bidi w:val="0"/>
              <w:adjustRightInd/>
              <w:snapToGrid/>
              <w:spacing w:before="188" w:beforeLines="6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 xml:space="preserve">项目编号：QHNX79-2025 </w:t>
            </w:r>
          </w:p>
          <w:p w14:paraId="1FAEA97F">
            <w:pPr>
              <w:keepNext w:val="0"/>
              <w:keepLines w:val="0"/>
              <w:pageBreakBefore w:val="0"/>
              <w:widowControl/>
              <w:suppressLineNumbers w:val="0"/>
              <w:kinsoku/>
              <w:wordWrap/>
              <w:overflowPunct/>
              <w:topLinePunct w:val="0"/>
              <w:autoSpaceDE/>
              <w:autoSpaceDN/>
              <w:bidi w:val="0"/>
              <w:adjustRightInd/>
              <w:snapToGrid/>
              <w:spacing w:after="157" w:afterLines="50"/>
              <w:ind w:firstLine="1050" w:firstLineChars="50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QAS-JH38-2025</w:t>
            </w:r>
          </w:p>
          <w:p w14:paraId="2DBCB4B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p>
        </w:tc>
      </w:tr>
      <w:tr w14:paraId="6A2E5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exact"/>
        </w:trPr>
        <w:tc>
          <w:tcPr>
            <w:tcW w:w="4982" w:type="dxa"/>
            <w:tcBorders>
              <w:tl2br w:val="nil"/>
              <w:tr2bl w:val="nil"/>
            </w:tcBorders>
            <w:vAlign w:val="center"/>
          </w:tcPr>
          <w:p w14:paraId="71D4B858">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主编单位：西宁市蔬菜技术服务中心</w:t>
            </w:r>
          </w:p>
        </w:tc>
        <w:tc>
          <w:tcPr>
            <w:tcW w:w="4129" w:type="dxa"/>
            <w:tcBorders>
              <w:tl2br w:val="nil"/>
              <w:tr2bl w:val="nil"/>
            </w:tcBorders>
            <w:vAlign w:val="center"/>
          </w:tcPr>
          <w:p w14:paraId="63E92F5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经办人：张晓梅</w:t>
            </w:r>
          </w:p>
        </w:tc>
      </w:tr>
    </w:tbl>
    <w:tbl>
      <w:tblPr>
        <w:tblStyle w:val="8"/>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2"/>
        <w:gridCol w:w="699"/>
        <w:gridCol w:w="3727"/>
        <w:gridCol w:w="2301"/>
        <w:gridCol w:w="1165"/>
      </w:tblGrid>
      <w:tr w14:paraId="1BDCE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trPr>
        <w:tc>
          <w:tcPr>
            <w:tcW w:w="392" w:type="pct"/>
            <w:vAlign w:val="center"/>
          </w:tcPr>
          <w:p w14:paraId="5329B31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序号</w:t>
            </w:r>
          </w:p>
        </w:tc>
        <w:tc>
          <w:tcPr>
            <w:tcW w:w="408" w:type="pct"/>
            <w:vAlign w:val="center"/>
          </w:tcPr>
          <w:p w14:paraId="6E92A62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标准条款</w:t>
            </w:r>
          </w:p>
        </w:tc>
        <w:tc>
          <w:tcPr>
            <w:tcW w:w="2175" w:type="pct"/>
            <w:vAlign w:val="center"/>
          </w:tcPr>
          <w:p w14:paraId="5C60CEC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意见内容</w:t>
            </w:r>
          </w:p>
        </w:tc>
        <w:tc>
          <w:tcPr>
            <w:tcW w:w="1343" w:type="pct"/>
            <w:vAlign w:val="center"/>
          </w:tcPr>
          <w:p w14:paraId="336B35C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提出单位</w:t>
            </w:r>
          </w:p>
        </w:tc>
        <w:tc>
          <w:tcPr>
            <w:tcW w:w="680" w:type="pct"/>
            <w:vAlign w:val="center"/>
          </w:tcPr>
          <w:p w14:paraId="2E4E0AE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处理结果和理由</w:t>
            </w:r>
          </w:p>
        </w:tc>
      </w:tr>
      <w:tr w14:paraId="160B0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4" w:hRule="atLeast"/>
        </w:trPr>
        <w:tc>
          <w:tcPr>
            <w:tcW w:w="392" w:type="pct"/>
            <w:vAlign w:val="center"/>
          </w:tcPr>
          <w:p w14:paraId="36631AD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bookmarkStart w:id="4" w:name="_Hlk195451061"/>
            <w:r>
              <w:rPr>
                <w:rFonts w:hint="eastAsia" w:ascii="Times New Roman" w:hAnsi="Times New Roman" w:eastAsia="仿宋" w:cs="仿宋"/>
                <w:color w:val="000000"/>
                <w:kern w:val="0"/>
                <w:sz w:val="21"/>
                <w:szCs w:val="21"/>
                <w:lang w:val="en-US" w:eastAsia="zh-CN" w:bidi="ar"/>
              </w:rPr>
              <w:t>1</w:t>
            </w:r>
          </w:p>
        </w:tc>
        <w:tc>
          <w:tcPr>
            <w:tcW w:w="408" w:type="pct"/>
            <w:vAlign w:val="center"/>
          </w:tcPr>
          <w:p w14:paraId="41E3910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标题</w:t>
            </w:r>
          </w:p>
        </w:tc>
        <w:tc>
          <w:tcPr>
            <w:tcW w:w="2175" w:type="pct"/>
            <w:vAlign w:val="center"/>
          </w:tcPr>
          <w:p w14:paraId="7D35376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在甘蓝类蔬菜后空两格</w:t>
            </w:r>
          </w:p>
        </w:tc>
        <w:tc>
          <w:tcPr>
            <w:tcW w:w="1343" w:type="pct"/>
            <w:vAlign w:val="center"/>
          </w:tcPr>
          <w:p w14:paraId="60AB819D">
            <w:pPr>
              <w:jc w:val="center"/>
              <w:rPr>
                <w:rFonts w:hint="eastAsia" w:ascii="Times New Roman" w:hAnsi="Times New Roman" w:eastAsia="仿宋" w:cs="仿宋"/>
                <w:color w:val="000000"/>
                <w:kern w:val="0"/>
                <w:sz w:val="21"/>
                <w:szCs w:val="21"/>
                <w:lang w:val="en-US" w:eastAsia="zh-CN" w:bidi="ar"/>
              </w:rPr>
            </w:pPr>
            <w:r>
              <w:rPr>
                <w:rFonts w:hint="eastAsia" w:ascii="仿宋_GB2312" w:hAnsi="宋体" w:eastAsia="仿宋_GB2312"/>
                <w:sz w:val="24"/>
                <w:lang w:eastAsia="zh-CN"/>
              </w:rPr>
              <w:t>青海省农林科学院</w:t>
            </w:r>
          </w:p>
        </w:tc>
        <w:tc>
          <w:tcPr>
            <w:tcW w:w="680" w:type="pct"/>
            <w:vAlign w:val="center"/>
          </w:tcPr>
          <w:p w14:paraId="4061A448">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634D7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2" w:hRule="atLeast"/>
        </w:trPr>
        <w:tc>
          <w:tcPr>
            <w:tcW w:w="392" w:type="pct"/>
            <w:vAlign w:val="center"/>
          </w:tcPr>
          <w:p w14:paraId="356FB81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2</w:t>
            </w:r>
          </w:p>
        </w:tc>
        <w:tc>
          <w:tcPr>
            <w:tcW w:w="408" w:type="pct"/>
            <w:shd w:val="clear" w:color="auto" w:fill="auto"/>
            <w:vAlign w:val="center"/>
          </w:tcPr>
          <w:p w14:paraId="15442F1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3</w:t>
            </w:r>
          </w:p>
        </w:tc>
        <w:tc>
          <w:tcPr>
            <w:tcW w:w="2175" w:type="pct"/>
            <w:shd w:val="clear" w:color="auto" w:fill="auto"/>
            <w:vAlign w:val="center"/>
          </w:tcPr>
          <w:p w14:paraId="5095562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在术语和定义内添加关于商品化处理的定义。</w:t>
            </w:r>
          </w:p>
        </w:tc>
        <w:tc>
          <w:tcPr>
            <w:tcW w:w="1343" w:type="pct"/>
            <w:vAlign w:val="center"/>
          </w:tcPr>
          <w:p w14:paraId="1E1C50D3">
            <w:pPr>
              <w:jc w:val="center"/>
              <w:rPr>
                <w:rFonts w:hint="default" w:ascii="Times New Roman" w:hAnsi="Times New Roman" w:eastAsia="仿宋_GB2312" w:cs="仿宋"/>
                <w:color w:val="000000"/>
                <w:kern w:val="0"/>
                <w:sz w:val="21"/>
                <w:szCs w:val="21"/>
                <w:lang w:val="en-US" w:eastAsia="zh-CN" w:bidi="ar"/>
              </w:rPr>
            </w:pPr>
            <w:r>
              <w:rPr>
                <w:rFonts w:hint="eastAsia" w:ascii="仿宋_GB2312" w:hAnsi="宋体" w:eastAsia="仿宋_GB2312"/>
                <w:color w:val="auto"/>
                <w:sz w:val="24"/>
                <w:lang w:eastAsia="zh-CN"/>
              </w:rPr>
              <w:t>青海省农业技术推广总站</w:t>
            </w:r>
          </w:p>
        </w:tc>
        <w:tc>
          <w:tcPr>
            <w:tcW w:w="680" w:type="pct"/>
            <w:vAlign w:val="center"/>
          </w:tcPr>
          <w:p w14:paraId="5D0E7967">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51E94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92" w:type="pct"/>
            <w:vAlign w:val="center"/>
          </w:tcPr>
          <w:p w14:paraId="2D1C603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3</w:t>
            </w:r>
          </w:p>
        </w:tc>
        <w:tc>
          <w:tcPr>
            <w:tcW w:w="408" w:type="pct"/>
            <w:shd w:val="clear" w:color="auto" w:fill="auto"/>
            <w:vAlign w:val="center"/>
          </w:tcPr>
          <w:p w14:paraId="60F0E89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4</w:t>
            </w:r>
          </w:p>
        </w:tc>
        <w:tc>
          <w:tcPr>
            <w:tcW w:w="2175" w:type="pct"/>
            <w:shd w:val="clear" w:color="auto" w:fill="auto"/>
            <w:vAlign w:val="center"/>
          </w:tcPr>
          <w:p w14:paraId="1FDAC45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完善采收流程，针对不同种类的甘蓝类蔬菜进行采收流程细化。</w:t>
            </w:r>
          </w:p>
        </w:tc>
        <w:tc>
          <w:tcPr>
            <w:tcW w:w="1343" w:type="pct"/>
            <w:vAlign w:val="center"/>
          </w:tcPr>
          <w:p w14:paraId="29CBF930">
            <w:pPr>
              <w:jc w:val="center"/>
              <w:rPr>
                <w:rFonts w:hint="eastAsia" w:ascii="Times New Roman" w:hAnsi="Times New Roman" w:eastAsia="仿宋" w:cs="仿宋"/>
                <w:color w:val="000000"/>
                <w:kern w:val="0"/>
                <w:sz w:val="21"/>
                <w:szCs w:val="21"/>
                <w:lang w:val="en-US" w:eastAsia="zh-CN" w:bidi="ar"/>
              </w:rPr>
            </w:pPr>
            <w:r>
              <w:rPr>
                <w:rFonts w:hint="eastAsia" w:ascii="仿宋_GB2312" w:hAnsi="宋体" w:eastAsia="仿宋_GB2312"/>
                <w:sz w:val="24"/>
                <w:lang w:eastAsia="zh-CN"/>
              </w:rPr>
              <w:t>青海大学</w:t>
            </w:r>
          </w:p>
        </w:tc>
        <w:tc>
          <w:tcPr>
            <w:tcW w:w="680" w:type="pct"/>
            <w:vAlign w:val="center"/>
          </w:tcPr>
          <w:p w14:paraId="12D12FD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13684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3" w:hRule="atLeast"/>
        </w:trPr>
        <w:tc>
          <w:tcPr>
            <w:tcW w:w="392" w:type="pct"/>
            <w:vAlign w:val="center"/>
          </w:tcPr>
          <w:p w14:paraId="5FED16B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4</w:t>
            </w:r>
          </w:p>
        </w:tc>
        <w:tc>
          <w:tcPr>
            <w:tcW w:w="408" w:type="pct"/>
            <w:shd w:val="clear" w:color="auto" w:fill="auto"/>
            <w:vAlign w:val="center"/>
          </w:tcPr>
          <w:p w14:paraId="365AA8C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4.2</w:t>
            </w:r>
          </w:p>
        </w:tc>
        <w:tc>
          <w:tcPr>
            <w:tcW w:w="2175" w:type="pct"/>
            <w:shd w:val="clear" w:color="auto" w:fill="auto"/>
            <w:vAlign w:val="center"/>
          </w:tcPr>
          <w:p w14:paraId="7918AC9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合并外观要求和大小标准更改为采收标准，并按不同种类的甘蓝类蔬菜进行详细阐述。</w:t>
            </w:r>
          </w:p>
        </w:tc>
        <w:tc>
          <w:tcPr>
            <w:tcW w:w="1343" w:type="pct"/>
            <w:vAlign w:val="center"/>
          </w:tcPr>
          <w:p w14:paraId="29212FBB">
            <w:pPr>
              <w:jc w:val="center"/>
              <w:rPr>
                <w:rFonts w:hint="eastAsia" w:ascii="Times New Roman" w:hAnsi="Times New Roman" w:eastAsia="仿宋" w:cs="仿宋"/>
                <w:color w:val="000000"/>
                <w:kern w:val="0"/>
                <w:sz w:val="21"/>
                <w:szCs w:val="21"/>
                <w:lang w:val="en-US" w:eastAsia="zh-CN" w:bidi="ar"/>
              </w:rPr>
            </w:pPr>
            <w:r>
              <w:rPr>
                <w:rFonts w:hint="eastAsia" w:ascii="仿宋_GB2312" w:hAnsi="宋体" w:eastAsia="仿宋_GB2312"/>
                <w:sz w:val="24"/>
                <w:lang w:eastAsia="zh-CN"/>
              </w:rPr>
              <w:t>中国科学院西北高原生物研究所</w:t>
            </w:r>
          </w:p>
        </w:tc>
        <w:tc>
          <w:tcPr>
            <w:tcW w:w="680" w:type="pct"/>
            <w:vAlign w:val="center"/>
          </w:tcPr>
          <w:p w14:paraId="15ABE75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09932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392" w:type="pct"/>
            <w:vAlign w:val="center"/>
          </w:tcPr>
          <w:p w14:paraId="7BD0F70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5</w:t>
            </w:r>
          </w:p>
        </w:tc>
        <w:tc>
          <w:tcPr>
            <w:tcW w:w="408" w:type="pct"/>
            <w:shd w:val="clear" w:color="auto" w:fill="auto"/>
            <w:vAlign w:val="center"/>
          </w:tcPr>
          <w:p w14:paraId="08171BB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4.7</w:t>
            </w:r>
          </w:p>
        </w:tc>
        <w:tc>
          <w:tcPr>
            <w:tcW w:w="2175" w:type="pct"/>
            <w:shd w:val="clear" w:color="auto" w:fill="auto"/>
            <w:vAlign w:val="center"/>
          </w:tcPr>
          <w:p w14:paraId="60D7E20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将采收容器改为装箱器具</w:t>
            </w:r>
          </w:p>
        </w:tc>
        <w:tc>
          <w:tcPr>
            <w:tcW w:w="1343" w:type="pct"/>
            <w:vAlign w:val="center"/>
          </w:tcPr>
          <w:p w14:paraId="3C57D360">
            <w:pPr>
              <w:jc w:val="both"/>
              <w:rPr>
                <w:rFonts w:hint="eastAsia" w:ascii="Times New Roman" w:hAnsi="Times New Roman" w:eastAsia="仿宋" w:cs="仿宋"/>
                <w:color w:val="000000"/>
                <w:kern w:val="0"/>
                <w:sz w:val="21"/>
                <w:szCs w:val="21"/>
                <w:lang w:val="en-US" w:eastAsia="zh-CN" w:bidi="ar"/>
              </w:rPr>
            </w:pPr>
            <w:r>
              <w:rPr>
                <w:rFonts w:hint="eastAsia" w:ascii="仿宋_GB2312" w:hAnsi="宋体" w:eastAsia="仿宋_GB2312"/>
                <w:sz w:val="24"/>
                <w:lang w:eastAsia="zh-CN"/>
              </w:rPr>
              <w:t>青海大学农牧学院</w:t>
            </w:r>
          </w:p>
        </w:tc>
        <w:tc>
          <w:tcPr>
            <w:tcW w:w="680" w:type="pct"/>
            <w:vAlign w:val="center"/>
          </w:tcPr>
          <w:p w14:paraId="0927D06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619BF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trPr>
        <w:tc>
          <w:tcPr>
            <w:tcW w:w="392" w:type="pct"/>
            <w:vAlign w:val="center"/>
          </w:tcPr>
          <w:p w14:paraId="32F6E9F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6</w:t>
            </w:r>
          </w:p>
        </w:tc>
        <w:tc>
          <w:tcPr>
            <w:tcW w:w="408" w:type="pct"/>
            <w:shd w:val="clear" w:color="auto" w:fill="auto"/>
            <w:vAlign w:val="center"/>
          </w:tcPr>
          <w:p w14:paraId="3EA2B37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6</w:t>
            </w:r>
          </w:p>
        </w:tc>
        <w:tc>
          <w:tcPr>
            <w:tcW w:w="2175" w:type="pct"/>
            <w:shd w:val="clear" w:color="auto" w:fill="auto"/>
            <w:vAlign w:val="center"/>
          </w:tcPr>
          <w:p w14:paraId="5A0B34A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将预冷归纳至商品处理内，调整并完善预冷内的整体内容框架。</w:t>
            </w:r>
          </w:p>
        </w:tc>
        <w:tc>
          <w:tcPr>
            <w:tcW w:w="1343" w:type="pct"/>
            <w:vAlign w:val="center"/>
          </w:tcPr>
          <w:p w14:paraId="425CCFE2">
            <w:pPr>
              <w:jc w:val="center"/>
              <w:rPr>
                <w:rFonts w:hint="eastAsia" w:ascii="Times New Roman" w:hAnsi="Times New Roman" w:eastAsia="仿宋" w:cs="仿宋"/>
                <w:color w:val="000000"/>
                <w:kern w:val="0"/>
                <w:sz w:val="21"/>
                <w:szCs w:val="21"/>
                <w:lang w:val="en-US" w:eastAsia="zh-CN" w:bidi="ar"/>
              </w:rPr>
            </w:pPr>
            <w:r>
              <w:rPr>
                <w:rFonts w:hint="eastAsia" w:ascii="仿宋_GB2312" w:hAnsi="宋体" w:eastAsia="仿宋_GB2312"/>
                <w:sz w:val="24"/>
                <w:lang w:eastAsia="zh-CN"/>
              </w:rPr>
              <w:t>青海大学农牧学院</w:t>
            </w:r>
          </w:p>
        </w:tc>
        <w:tc>
          <w:tcPr>
            <w:tcW w:w="680" w:type="pct"/>
            <w:vAlign w:val="center"/>
          </w:tcPr>
          <w:p w14:paraId="238A87EC">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5341C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trPr>
        <w:tc>
          <w:tcPr>
            <w:tcW w:w="392" w:type="pct"/>
            <w:vAlign w:val="center"/>
          </w:tcPr>
          <w:p w14:paraId="6B1D7A32">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7</w:t>
            </w:r>
          </w:p>
        </w:tc>
        <w:tc>
          <w:tcPr>
            <w:tcW w:w="408" w:type="pct"/>
            <w:shd w:val="clear" w:color="auto" w:fill="auto"/>
            <w:vAlign w:val="center"/>
          </w:tcPr>
          <w:p w14:paraId="21EB580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8</w:t>
            </w:r>
          </w:p>
        </w:tc>
        <w:tc>
          <w:tcPr>
            <w:tcW w:w="2175" w:type="pct"/>
            <w:shd w:val="clear" w:color="auto" w:fill="auto"/>
            <w:vAlign w:val="center"/>
          </w:tcPr>
          <w:p w14:paraId="7D8A92A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细化不同种类的甘蓝类蔬菜的不同包装方式以及装箱要求。</w:t>
            </w:r>
          </w:p>
        </w:tc>
        <w:tc>
          <w:tcPr>
            <w:tcW w:w="1343" w:type="pct"/>
            <w:vAlign w:val="center"/>
          </w:tcPr>
          <w:p w14:paraId="620D7E08">
            <w:pPr>
              <w:jc w:val="center"/>
              <w:rPr>
                <w:rFonts w:hint="eastAsia" w:ascii="Times New Roman" w:hAnsi="Times New Roman" w:eastAsia="仿宋" w:cs="仿宋"/>
                <w:color w:val="000000"/>
                <w:kern w:val="0"/>
                <w:sz w:val="21"/>
                <w:szCs w:val="21"/>
                <w:lang w:val="en-US" w:eastAsia="zh-CN" w:bidi="ar"/>
              </w:rPr>
            </w:pPr>
            <w:r>
              <w:rPr>
                <w:rFonts w:hint="eastAsia" w:ascii="仿宋_GB2312" w:hAnsi="宋体" w:eastAsia="仿宋_GB2312"/>
                <w:color w:val="auto"/>
                <w:sz w:val="24"/>
                <w:lang w:eastAsia="zh-CN"/>
              </w:rPr>
              <w:t>西宁市技术推广服务中心</w:t>
            </w:r>
          </w:p>
        </w:tc>
        <w:tc>
          <w:tcPr>
            <w:tcW w:w="680" w:type="pct"/>
            <w:shd w:val="clear" w:color="auto" w:fill="auto"/>
            <w:vAlign w:val="center"/>
          </w:tcPr>
          <w:p w14:paraId="4CFC0302">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3186E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392" w:type="pct"/>
            <w:vAlign w:val="center"/>
          </w:tcPr>
          <w:p w14:paraId="05884BA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8</w:t>
            </w:r>
          </w:p>
        </w:tc>
        <w:tc>
          <w:tcPr>
            <w:tcW w:w="408" w:type="pct"/>
            <w:shd w:val="clear" w:color="auto" w:fill="auto"/>
            <w:vAlign w:val="center"/>
          </w:tcPr>
          <w:p w14:paraId="41AC84F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8.4</w:t>
            </w:r>
          </w:p>
        </w:tc>
        <w:tc>
          <w:tcPr>
            <w:tcW w:w="2175" w:type="pct"/>
            <w:shd w:val="clear" w:color="auto" w:fill="auto"/>
            <w:vAlign w:val="center"/>
          </w:tcPr>
          <w:p w14:paraId="77140CD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删除参考GB/T 19630</w:t>
            </w:r>
          </w:p>
        </w:tc>
        <w:tc>
          <w:tcPr>
            <w:tcW w:w="1343" w:type="pct"/>
            <w:vAlign w:val="center"/>
          </w:tcPr>
          <w:p w14:paraId="2850DEA4">
            <w:pPr>
              <w:jc w:val="center"/>
              <w:rPr>
                <w:rFonts w:hint="eastAsia" w:ascii="Times New Roman" w:hAnsi="Times New Roman" w:eastAsia="仿宋" w:cs="仿宋"/>
                <w:color w:val="000000"/>
                <w:kern w:val="0"/>
                <w:sz w:val="21"/>
                <w:szCs w:val="21"/>
                <w:lang w:val="en-US" w:eastAsia="zh-CN" w:bidi="ar"/>
              </w:rPr>
            </w:pPr>
            <w:r>
              <w:rPr>
                <w:rFonts w:hint="eastAsia" w:ascii="仿宋_GB2312" w:hAnsi="宋体" w:eastAsia="仿宋_GB2312"/>
                <w:sz w:val="24"/>
                <w:lang w:eastAsia="zh-CN"/>
              </w:rPr>
              <w:t>青海省农林科学院</w:t>
            </w:r>
          </w:p>
        </w:tc>
        <w:tc>
          <w:tcPr>
            <w:tcW w:w="680" w:type="pct"/>
            <w:shd w:val="clear" w:color="auto" w:fill="auto"/>
            <w:vAlign w:val="center"/>
          </w:tcPr>
          <w:p w14:paraId="5C2154C8">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217E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392" w:type="pct"/>
            <w:vAlign w:val="center"/>
          </w:tcPr>
          <w:p w14:paraId="50E85BF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9</w:t>
            </w:r>
          </w:p>
        </w:tc>
        <w:tc>
          <w:tcPr>
            <w:tcW w:w="408" w:type="pct"/>
            <w:shd w:val="clear" w:color="auto" w:fill="auto"/>
            <w:vAlign w:val="center"/>
          </w:tcPr>
          <w:p w14:paraId="06079208">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9</w:t>
            </w:r>
          </w:p>
        </w:tc>
        <w:tc>
          <w:tcPr>
            <w:tcW w:w="2175" w:type="pct"/>
            <w:shd w:val="clear" w:color="auto" w:fill="auto"/>
            <w:vAlign w:val="center"/>
          </w:tcPr>
          <w:p w14:paraId="45B05C3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修改贮藏小节下的小标题名称。</w:t>
            </w:r>
          </w:p>
        </w:tc>
        <w:tc>
          <w:tcPr>
            <w:tcW w:w="1343" w:type="pct"/>
            <w:vAlign w:val="center"/>
          </w:tcPr>
          <w:p w14:paraId="0D3A63C3">
            <w:pPr>
              <w:jc w:val="center"/>
              <w:rPr>
                <w:rFonts w:hint="eastAsia" w:ascii="Times New Roman" w:hAnsi="Times New Roman" w:eastAsia="仿宋" w:cs="仿宋"/>
                <w:color w:val="000000"/>
                <w:kern w:val="0"/>
                <w:sz w:val="21"/>
                <w:szCs w:val="21"/>
                <w:lang w:val="en-US" w:eastAsia="zh-CN" w:bidi="ar"/>
              </w:rPr>
            </w:pPr>
            <w:r>
              <w:rPr>
                <w:rFonts w:hint="eastAsia" w:ascii="仿宋_GB2312" w:hAnsi="宋体" w:eastAsia="仿宋_GB2312"/>
                <w:sz w:val="24"/>
                <w:lang w:eastAsia="zh-CN"/>
              </w:rPr>
              <w:t>青海大学</w:t>
            </w:r>
          </w:p>
        </w:tc>
        <w:tc>
          <w:tcPr>
            <w:tcW w:w="680" w:type="pct"/>
            <w:shd w:val="clear" w:color="auto" w:fill="auto"/>
            <w:vAlign w:val="center"/>
          </w:tcPr>
          <w:p w14:paraId="65A7CB5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bookmarkEnd w:id="4"/>
    </w:tbl>
    <w:p w14:paraId="5875F1C4">
      <w:pPr>
        <w:jc w:val="left"/>
        <w:rPr>
          <w:rFonts w:ascii="Times New Roman" w:hAnsi="Times New Roman" w:eastAsia="仿宋_GB2312" w:cs="Times New Roman"/>
          <w:kern w:val="0"/>
          <w:sz w:val="32"/>
          <w:szCs w:val="32"/>
        </w:rPr>
      </w:pPr>
    </w:p>
    <w:p w14:paraId="578C5A5F">
      <w:pPr>
        <w:jc w:val="left"/>
        <w:rPr>
          <w:rFonts w:ascii="Times New Roman" w:hAnsi="Times New Roman" w:eastAsia="仿宋_GB2312" w:cs="Times New Roman"/>
          <w:kern w:val="0"/>
          <w:sz w:val="32"/>
          <w:szCs w:val="32"/>
        </w:rPr>
      </w:pPr>
    </w:p>
    <w:p w14:paraId="04F80B41">
      <w:pPr>
        <w:jc w:val="left"/>
        <w:rPr>
          <w:rFonts w:ascii="Times New Roman" w:hAnsi="Times New Roman" w:eastAsia="仿宋_GB2312" w:cs="Times New Roman"/>
          <w:kern w:val="0"/>
          <w:sz w:val="32"/>
          <w:szCs w:val="32"/>
        </w:rPr>
      </w:pPr>
    </w:p>
    <w:p w14:paraId="5FF0FF5E">
      <w:pPr>
        <w:jc w:val="left"/>
        <w:rPr>
          <w:rFonts w:ascii="Times New Roman" w:hAnsi="Times New Roman" w:eastAsia="仿宋_GB2312" w:cs="Times New Roman"/>
          <w:kern w:val="0"/>
          <w:sz w:val="32"/>
          <w:szCs w:val="32"/>
        </w:rPr>
      </w:pPr>
    </w:p>
    <w:p w14:paraId="10317CD9">
      <w:pPr>
        <w:jc w:val="left"/>
        <w:rPr>
          <w:rFonts w:hint="eastAsia" w:ascii="Times New Roman" w:hAnsi="Times New Roman" w:eastAsia="仿宋" w:cs="仿宋"/>
          <w:sz w:val="32"/>
          <w:szCs w:val="32"/>
        </w:rPr>
      </w:pPr>
      <w:r>
        <w:rPr>
          <w:rFonts w:hint="eastAsia" w:ascii="Times New Roman" w:hAnsi="Times New Roman" w:eastAsia="仿宋" w:cs="仿宋"/>
          <w:sz w:val="32"/>
          <w:szCs w:val="32"/>
        </w:rPr>
        <w:t>附件</w:t>
      </w:r>
      <w:r>
        <w:rPr>
          <w:rFonts w:hint="eastAsia" w:ascii="Times New Roman" w:hAnsi="Times New Roman" w:eastAsia="仿宋" w:cs="仿宋"/>
          <w:sz w:val="32"/>
          <w:szCs w:val="32"/>
          <w:lang w:val="en-US" w:eastAsia="zh-CN"/>
        </w:rPr>
        <w:t>2</w:t>
      </w:r>
      <w:r>
        <w:rPr>
          <w:rFonts w:hint="eastAsia" w:ascii="Times New Roman" w:hAnsi="Times New Roman" w:eastAsia="仿宋" w:cs="仿宋"/>
          <w:sz w:val="32"/>
          <w:szCs w:val="32"/>
        </w:rPr>
        <w:t>：</w:t>
      </w:r>
    </w:p>
    <w:p w14:paraId="1C827EDA">
      <w:pPr>
        <w:jc w:val="center"/>
        <w:rPr>
          <w:rFonts w:hint="eastAsia" w:ascii="Times New Roman" w:hAnsi="Times New Roman" w:eastAsia="仿宋" w:cs="仿宋"/>
          <w:sz w:val="32"/>
          <w:szCs w:val="32"/>
        </w:rPr>
      </w:pPr>
      <w:r>
        <w:rPr>
          <w:rFonts w:hint="eastAsia" w:ascii="Times New Roman" w:hAnsi="Times New Roman" w:eastAsia="仿宋" w:cs="仿宋"/>
          <w:sz w:val="32"/>
          <w:szCs w:val="32"/>
        </w:rPr>
        <w:t>团体标准技术审查意见汇总表</w:t>
      </w:r>
    </w:p>
    <w:tbl>
      <w:tblPr>
        <w:tblStyle w:val="9"/>
        <w:tblW w:w="9111" w:type="dxa"/>
        <w:tblInd w:w="-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82"/>
        <w:gridCol w:w="4129"/>
      </w:tblGrid>
      <w:tr w14:paraId="17E22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exact"/>
        </w:trPr>
        <w:tc>
          <w:tcPr>
            <w:tcW w:w="4982" w:type="dxa"/>
            <w:tcBorders>
              <w:tl2br w:val="nil"/>
              <w:tr2bl w:val="nil"/>
            </w:tcBorders>
            <w:vAlign w:val="center"/>
          </w:tcPr>
          <w:p w14:paraId="11BC026A">
            <w:pPr>
              <w:keepNext w:val="0"/>
              <w:keepLines w:val="0"/>
              <w:pageBreakBefore w:val="0"/>
              <w:widowControl/>
              <w:suppressLineNumbers w:val="0"/>
              <w:kinsoku/>
              <w:wordWrap/>
              <w:overflowPunct/>
              <w:topLinePunct w:val="0"/>
              <w:autoSpaceDE/>
              <w:autoSpaceDN/>
              <w:bidi w:val="0"/>
              <w:adjustRightInd/>
              <w:snapToGrid/>
              <w:spacing w:after="157" w:afterLines="50" w:line="240" w:lineRule="auto"/>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项目名称:甘蓝类蔬菜 采后商品化处理技术规范</w:t>
            </w:r>
          </w:p>
        </w:tc>
        <w:tc>
          <w:tcPr>
            <w:tcW w:w="4129" w:type="dxa"/>
            <w:tcBorders>
              <w:tl2br w:val="nil"/>
              <w:tr2bl w:val="nil"/>
            </w:tcBorders>
            <w:vAlign w:val="center"/>
          </w:tcPr>
          <w:p w14:paraId="5C590BF7">
            <w:pPr>
              <w:keepNext w:val="0"/>
              <w:keepLines w:val="0"/>
              <w:pageBreakBefore w:val="0"/>
              <w:widowControl/>
              <w:suppressLineNumbers w:val="0"/>
              <w:kinsoku/>
              <w:wordWrap/>
              <w:overflowPunct/>
              <w:topLinePunct w:val="0"/>
              <w:autoSpaceDE/>
              <w:autoSpaceDN/>
              <w:bidi w:val="0"/>
              <w:adjustRightInd/>
              <w:snapToGrid/>
              <w:spacing w:before="188" w:beforeLines="6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 xml:space="preserve">项目编号：QHNX79-2025 </w:t>
            </w:r>
          </w:p>
          <w:p w14:paraId="1A6A7593">
            <w:pPr>
              <w:keepNext w:val="0"/>
              <w:keepLines w:val="0"/>
              <w:pageBreakBefore w:val="0"/>
              <w:widowControl/>
              <w:suppressLineNumbers w:val="0"/>
              <w:kinsoku/>
              <w:wordWrap/>
              <w:overflowPunct/>
              <w:topLinePunct w:val="0"/>
              <w:autoSpaceDE/>
              <w:autoSpaceDN/>
              <w:bidi w:val="0"/>
              <w:adjustRightInd/>
              <w:snapToGrid/>
              <w:spacing w:after="157" w:afterLines="50"/>
              <w:ind w:firstLine="1050" w:firstLineChars="50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QAS-JH38-2025</w:t>
            </w:r>
          </w:p>
          <w:p w14:paraId="6F41C29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p>
        </w:tc>
      </w:tr>
      <w:tr w14:paraId="312ED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exact"/>
        </w:trPr>
        <w:tc>
          <w:tcPr>
            <w:tcW w:w="4982" w:type="dxa"/>
            <w:tcBorders>
              <w:tl2br w:val="nil"/>
              <w:tr2bl w:val="nil"/>
            </w:tcBorders>
            <w:vAlign w:val="center"/>
          </w:tcPr>
          <w:p w14:paraId="21734C0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主编单位：西宁市蔬菜技术服务中心</w:t>
            </w:r>
          </w:p>
        </w:tc>
        <w:tc>
          <w:tcPr>
            <w:tcW w:w="4129" w:type="dxa"/>
            <w:tcBorders>
              <w:tl2br w:val="nil"/>
              <w:tr2bl w:val="nil"/>
            </w:tcBorders>
            <w:vAlign w:val="center"/>
          </w:tcPr>
          <w:p w14:paraId="748E6B42">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经办人：张晓梅</w:t>
            </w:r>
          </w:p>
        </w:tc>
      </w:tr>
    </w:tbl>
    <w:tbl>
      <w:tblPr>
        <w:tblStyle w:val="8"/>
        <w:tblW w:w="91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6"/>
        <w:gridCol w:w="750"/>
        <w:gridCol w:w="3917"/>
        <w:gridCol w:w="2449"/>
        <w:gridCol w:w="1239"/>
      </w:tblGrid>
      <w:tr w14:paraId="49307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trPr>
        <w:tc>
          <w:tcPr>
            <w:tcW w:w="756" w:type="dxa"/>
            <w:vAlign w:val="center"/>
          </w:tcPr>
          <w:p w14:paraId="301FFCC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序号</w:t>
            </w:r>
          </w:p>
        </w:tc>
        <w:tc>
          <w:tcPr>
            <w:tcW w:w="750" w:type="dxa"/>
            <w:vAlign w:val="center"/>
          </w:tcPr>
          <w:p w14:paraId="34CBE267">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标准条款</w:t>
            </w:r>
          </w:p>
        </w:tc>
        <w:tc>
          <w:tcPr>
            <w:tcW w:w="3917" w:type="dxa"/>
            <w:vAlign w:val="center"/>
          </w:tcPr>
          <w:p w14:paraId="4B57D32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意见内容</w:t>
            </w:r>
          </w:p>
        </w:tc>
        <w:tc>
          <w:tcPr>
            <w:tcW w:w="2449" w:type="dxa"/>
            <w:vAlign w:val="center"/>
          </w:tcPr>
          <w:p w14:paraId="69EAFA9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提出单位</w:t>
            </w:r>
          </w:p>
        </w:tc>
        <w:tc>
          <w:tcPr>
            <w:tcW w:w="1239" w:type="dxa"/>
            <w:vAlign w:val="center"/>
          </w:tcPr>
          <w:p w14:paraId="791245F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处理结果和理由</w:t>
            </w:r>
          </w:p>
        </w:tc>
      </w:tr>
      <w:tr w14:paraId="629BF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4" w:hRule="atLeast"/>
        </w:trPr>
        <w:tc>
          <w:tcPr>
            <w:tcW w:w="756" w:type="dxa"/>
            <w:vAlign w:val="center"/>
          </w:tcPr>
          <w:p w14:paraId="165BE4E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1</w:t>
            </w:r>
          </w:p>
        </w:tc>
        <w:tc>
          <w:tcPr>
            <w:tcW w:w="750" w:type="dxa"/>
            <w:vAlign w:val="center"/>
          </w:tcPr>
          <w:p w14:paraId="1D1C0C4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标题</w:t>
            </w:r>
          </w:p>
        </w:tc>
        <w:tc>
          <w:tcPr>
            <w:tcW w:w="3917" w:type="dxa"/>
            <w:vAlign w:val="center"/>
          </w:tcPr>
          <w:p w14:paraId="1844001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修改为“</w:t>
            </w:r>
            <w:r>
              <w:rPr>
                <w:rFonts w:hint="eastAsia" w:ascii="Times New Roman" w:hAnsi="Times New Roman" w:eastAsia="仿宋" w:cs="仿宋"/>
                <w:color w:val="000000"/>
                <w:kern w:val="0"/>
                <w:szCs w:val="21"/>
                <w:lang w:bidi="ar"/>
              </w:rPr>
              <w:t xml:space="preserve">甘蓝类蔬菜  </w:t>
            </w:r>
            <w:r>
              <w:rPr>
                <w:rFonts w:hint="eastAsia" w:ascii="Times New Roman" w:hAnsi="Times New Roman" w:eastAsia="仿宋" w:cs="仿宋"/>
                <w:color w:val="000000"/>
                <w:kern w:val="0"/>
                <w:szCs w:val="21"/>
                <w:lang w:eastAsia="zh-CN" w:bidi="ar"/>
              </w:rPr>
              <w:t>采后</w:t>
            </w:r>
            <w:r>
              <w:rPr>
                <w:rFonts w:hint="eastAsia" w:ascii="Times New Roman" w:hAnsi="Times New Roman" w:eastAsia="仿宋" w:cs="仿宋"/>
                <w:color w:val="000000"/>
                <w:kern w:val="0"/>
                <w:szCs w:val="21"/>
                <w:lang w:bidi="ar"/>
              </w:rPr>
              <w:t>商品化处理技术规范</w:t>
            </w:r>
            <w:r>
              <w:rPr>
                <w:rFonts w:hint="eastAsia" w:ascii="Times New Roman" w:hAnsi="Times New Roman" w:eastAsia="仿宋" w:cs="仿宋"/>
                <w:color w:val="000000"/>
                <w:kern w:val="0"/>
                <w:szCs w:val="21"/>
                <w:lang w:eastAsia="zh-CN" w:bidi="ar"/>
              </w:rPr>
              <w:t>”</w:t>
            </w:r>
          </w:p>
        </w:tc>
        <w:tc>
          <w:tcPr>
            <w:tcW w:w="2449" w:type="dxa"/>
            <w:vAlign w:val="center"/>
          </w:tcPr>
          <w:p w14:paraId="66FADB7D">
            <w:pPr>
              <w:jc w:val="center"/>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青海大学</w:t>
            </w:r>
          </w:p>
        </w:tc>
        <w:tc>
          <w:tcPr>
            <w:tcW w:w="1239" w:type="dxa"/>
            <w:vAlign w:val="center"/>
          </w:tcPr>
          <w:p w14:paraId="49EE8D2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109CF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2" w:hRule="atLeast"/>
        </w:trPr>
        <w:tc>
          <w:tcPr>
            <w:tcW w:w="756" w:type="dxa"/>
            <w:vAlign w:val="center"/>
          </w:tcPr>
          <w:p w14:paraId="22B5999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2</w:t>
            </w:r>
          </w:p>
        </w:tc>
        <w:tc>
          <w:tcPr>
            <w:tcW w:w="750" w:type="dxa"/>
            <w:shd w:val="clear" w:color="auto" w:fill="auto"/>
            <w:vAlign w:val="center"/>
          </w:tcPr>
          <w:p w14:paraId="17321AC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2</w:t>
            </w:r>
          </w:p>
        </w:tc>
        <w:tc>
          <w:tcPr>
            <w:tcW w:w="3917" w:type="dxa"/>
            <w:shd w:val="clear" w:color="auto" w:fill="auto"/>
            <w:vAlign w:val="center"/>
          </w:tcPr>
          <w:p w14:paraId="3C30984C">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增加相关标准，调整排序</w:t>
            </w:r>
          </w:p>
        </w:tc>
        <w:tc>
          <w:tcPr>
            <w:tcW w:w="2449" w:type="dxa"/>
            <w:vAlign w:val="center"/>
          </w:tcPr>
          <w:p w14:paraId="3893BB84">
            <w:pPr>
              <w:jc w:val="center"/>
              <w:rPr>
                <w:rFonts w:hint="default" w:ascii="Times New Roman" w:hAnsi="Times New Roman" w:eastAsia="仿宋_GB2312" w:cs="仿宋"/>
                <w:color w:val="000000"/>
                <w:kern w:val="0"/>
                <w:sz w:val="21"/>
                <w:szCs w:val="21"/>
                <w:lang w:val="en-US" w:eastAsia="zh-CN" w:bidi="ar"/>
              </w:rPr>
            </w:pPr>
            <w:r>
              <w:rPr>
                <w:rFonts w:hint="default" w:ascii="Times New Roman" w:hAnsi="Times New Roman" w:eastAsia="仿宋_GB2312" w:cs="仿宋"/>
                <w:color w:val="000000"/>
                <w:kern w:val="0"/>
                <w:sz w:val="21"/>
                <w:szCs w:val="21"/>
                <w:lang w:val="en-US" w:eastAsia="zh-CN" w:bidi="ar"/>
              </w:rPr>
              <w:t>青海省农林科学院</w:t>
            </w:r>
          </w:p>
        </w:tc>
        <w:tc>
          <w:tcPr>
            <w:tcW w:w="1239" w:type="dxa"/>
            <w:vAlign w:val="center"/>
          </w:tcPr>
          <w:p w14:paraId="10F09687">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75610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756" w:type="dxa"/>
            <w:vAlign w:val="center"/>
          </w:tcPr>
          <w:p w14:paraId="30797B3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3</w:t>
            </w:r>
          </w:p>
        </w:tc>
        <w:tc>
          <w:tcPr>
            <w:tcW w:w="750" w:type="dxa"/>
            <w:shd w:val="clear" w:color="auto" w:fill="auto"/>
            <w:vAlign w:val="center"/>
          </w:tcPr>
          <w:p w14:paraId="53C82B3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4</w:t>
            </w:r>
          </w:p>
        </w:tc>
        <w:tc>
          <w:tcPr>
            <w:tcW w:w="3917" w:type="dxa"/>
            <w:shd w:val="clear" w:color="auto" w:fill="auto"/>
            <w:vAlign w:val="center"/>
          </w:tcPr>
          <w:p w14:paraId="39DAE90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修改为“基本要求”</w:t>
            </w:r>
          </w:p>
        </w:tc>
        <w:tc>
          <w:tcPr>
            <w:tcW w:w="2449" w:type="dxa"/>
            <w:vAlign w:val="center"/>
          </w:tcPr>
          <w:p w14:paraId="6DCDA711">
            <w:pPr>
              <w:keepNext w:val="0"/>
              <w:keepLines w:val="0"/>
              <w:suppressLineNumbers w:val="0"/>
              <w:spacing w:before="0" w:beforeAutospacing="0" w:after="0" w:afterAutospacing="0"/>
              <w:ind w:left="0" w:leftChars="0" w:right="0" w:rightChars="0"/>
              <w:jc w:val="center"/>
              <w:rPr>
                <w:rFonts w:hint="eastAsia" w:ascii="Times New Roman" w:hAnsi="Times New Roman" w:eastAsia="仿宋" w:cs="仿宋"/>
                <w:color w:val="000000"/>
                <w:kern w:val="0"/>
                <w:sz w:val="21"/>
                <w:szCs w:val="21"/>
                <w:lang w:val="en-US" w:eastAsia="zh-CN" w:bidi="ar"/>
              </w:rPr>
            </w:pPr>
            <w:r>
              <w:rPr>
                <w:rFonts w:hint="eastAsia" w:ascii="仿宋" w:hAnsi="仿宋" w:eastAsia="仿宋" w:cs="仿宋"/>
                <w:kern w:val="2"/>
                <w:sz w:val="21"/>
                <w:szCs w:val="21"/>
                <w:lang w:val="en-US" w:eastAsia="zh-CN" w:bidi="ar-SA"/>
              </w:rPr>
              <w:t>原青海省标准化研究所</w:t>
            </w:r>
          </w:p>
        </w:tc>
        <w:tc>
          <w:tcPr>
            <w:tcW w:w="1239" w:type="dxa"/>
            <w:vAlign w:val="center"/>
          </w:tcPr>
          <w:p w14:paraId="2C3123B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3C734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3" w:hRule="atLeast"/>
        </w:trPr>
        <w:tc>
          <w:tcPr>
            <w:tcW w:w="756" w:type="dxa"/>
            <w:vAlign w:val="center"/>
          </w:tcPr>
          <w:p w14:paraId="102F5E7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4</w:t>
            </w:r>
          </w:p>
        </w:tc>
        <w:tc>
          <w:tcPr>
            <w:tcW w:w="750" w:type="dxa"/>
            <w:shd w:val="clear" w:color="auto" w:fill="auto"/>
            <w:vAlign w:val="center"/>
          </w:tcPr>
          <w:p w14:paraId="6805927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4.1</w:t>
            </w:r>
          </w:p>
        </w:tc>
        <w:tc>
          <w:tcPr>
            <w:tcW w:w="3917" w:type="dxa"/>
            <w:shd w:val="clear" w:color="auto" w:fill="auto"/>
            <w:vAlign w:val="center"/>
          </w:tcPr>
          <w:p w14:paraId="6A7DD27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修改为“采收准备”</w:t>
            </w:r>
          </w:p>
        </w:tc>
        <w:tc>
          <w:tcPr>
            <w:tcW w:w="2449" w:type="dxa"/>
            <w:vAlign w:val="center"/>
          </w:tcPr>
          <w:p w14:paraId="59B7B0F2">
            <w:pPr>
              <w:keepNext w:val="0"/>
              <w:keepLines w:val="0"/>
              <w:suppressLineNumbers w:val="0"/>
              <w:spacing w:before="0" w:beforeAutospacing="0" w:after="0" w:afterAutospacing="0"/>
              <w:ind w:left="0" w:leftChars="0" w:right="0" w:rightChars="0"/>
              <w:jc w:val="center"/>
              <w:rPr>
                <w:rFonts w:hint="eastAsia" w:ascii="Times New Roman" w:hAnsi="Times New Roman" w:eastAsia="仿宋" w:cs="仿宋"/>
                <w:color w:val="000000"/>
                <w:kern w:val="0"/>
                <w:sz w:val="21"/>
                <w:szCs w:val="21"/>
                <w:lang w:val="en-US" w:eastAsia="zh-CN" w:bidi="ar"/>
              </w:rPr>
            </w:pPr>
            <w:r>
              <w:rPr>
                <w:rFonts w:hint="eastAsia" w:ascii="仿宋" w:hAnsi="仿宋" w:eastAsia="仿宋" w:cs="仿宋"/>
                <w:kern w:val="0"/>
                <w:sz w:val="21"/>
                <w:szCs w:val="20"/>
                <w:lang w:val="en-US" w:eastAsia="zh-CN" w:bidi="ar-SA"/>
              </w:rPr>
              <w:t>青海大学</w:t>
            </w:r>
          </w:p>
        </w:tc>
        <w:tc>
          <w:tcPr>
            <w:tcW w:w="1239" w:type="dxa"/>
            <w:vAlign w:val="center"/>
          </w:tcPr>
          <w:p w14:paraId="7C2F892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39FBE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756" w:type="dxa"/>
            <w:vAlign w:val="center"/>
          </w:tcPr>
          <w:p w14:paraId="2D9FEAA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5</w:t>
            </w:r>
          </w:p>
        </w:tc>
        <w:tc>
          <w:tcPr>
            <w:tcW w:w="750" w:type="dxa"/>
            <w:shd w:val="clear" w:color="auto" w:fill="auto"/>
            <w:vAlign w:val="center"/>
          </w:tcPr>
          <w:p w14:paraId="07DEEA1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4.2</w:t>
            </w:r>
          </w:p>
        </w:tc>
        <w:tc>
          <w:tcPr>
            <w:tcW w:w="3917" w:type="dxa"/>
            <w:shd w:val="clear" w:color="auto" w:fill="auto"/>
            <w:vAlign w:val="center"/>
          </w:tcPr>
          <w:p w14:paraId="7E35D66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修改为“采收方法”</w:t>
            </w:r>
          </w:p>
        </w:tc>
        <w:tc>
          <w:tcPr>
            <w:tcW w:w="2449" w:type="dxa"/>
            <w:vAlign w:val="center"/>
          </w:tcPr>
          <w:p w14:paraId="3F95E8F2">
            <w:pPr>
              <w:keepNext w:val="0"/>
              <w:keepLines w:val="0"/>
              <w:suppressLineNumbers w:val="0"/>
              <w:spacing w:before="0" w:beforeAutospacing="0" w:after="0" w:afterAutospacing="0"/>
              <w:ind w:left="0" w:leftChars="0" w:right="0" w:rightChars="0"/>
              <w:jc w:val="center"/>
              <w:rPr>
                <w:rFonts w:hint="eastAsia" w:ascii="Times New Roman" w:hAnsi="Times New Roman" w:eastAsia="仿宋" w:cs="仿宋"/>
                <w:color w:val="000000"/>
                <w:kern w:val="0"/>
                <w:sz w:val="21"/>
                <w:szCs w:val="21"/>
                <w:lang w:val="en-US" w:eastAsia="zh-CN" w:bidi="ar"/>
              </w:rPr>
            </w:pPr>
            <w:r>
              <w:rPr>
                <w:rFonts w:hint="eastAsia" w:ascii="仿宋" w:hAnsi="仿宋" w:eastAsia="仿宋" w:cs="仿宋"/>
                <w:kern w:val="0"/>
                <w:sz w:val="21"/>
                <w:szCs w:val="20"/>
                <w:lang w:val="en-US" w:eastAsia="zh-CN" w:bidi="ar-SA"/>
              </w:rPr>
              <w:t>青海省农业技术推广总站</w:t>
            </w:r>
          </w:p>
        </w:tc>
        <w:tc>
          <w:tcPr>
            <w:tcW w:w="1239" w:type="dxa"/>
            <w:vAlign w:val="center"/>
          </w:tcPr>
          <w:p w14:paraId="1BAFAA6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3BCA2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trPr>
        <w:tc>
          <w:tcPr>
            <w:tcW w:w="756" w:type="dxa"/>
            <w:vAlign w:val="center"/>
          </w:tcPr>
          <w:p w14:paraId="03BCFFD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6</w:t>
            </w:r>
          </w:p>
        </w:tc>
        <w:tc>
          <w:tcPr>
            <w:tcW w:w="750" w:type="dxa"/>
            <w:shd w:val="clear" w:color="auto" w:fill="auto"/>
            <w:vAlign w:val="center"/>
          </w:tcPr>
          <w:p w14:paraId="7A0FF90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4.3</w:t>
            </w:r>
          </w:p>
        </w:tc>
        <w:tc>
          <w:tcPr>
            <w:tcW w:w="3917" w:type="dxa"/>
            <w:shd w:val="clear" w:color="auto" w:fill="auto"/>
            <w:vAlign w:val="center"/>
          </w:tcPr>
          <w:p w14:paraId="0A06A8FC">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修改为“采收时间”</w:t>
            </w:r>
          </w:p>
        </w:tc>
        <w:tc>
          <w:tcPr>
            <w:tcW w:w="2449" w:type="dxa"/>
            <w:vAlign w:val="center"/>
          </w:tcPr>
          <w:p w14:paraId="1C9AF9A1">
            <w:pPr>
              <w:keepNext w:val="0"/>
              <w:keepLines w:val="0"/>
              <w:suppressLineNumbers w:val="0"/>
              <w:spacing w:before="0" w:beforeAutospacing="0" w:after="0" w:afterAutospacing="0"/>
              <w:ind w:left="0" w:leftChars="0" w:right="0" w:rightChars="0"/>
              <w:jc w:val="center"/>
              <w:rPr>
                <w:rFonts w:hint="eastAsia" w:ascii="Times New Roman" w:hAnsi="Times New Roman" w:eastAsia="仿宋" w:cs="仿宋"/>
                <w:color w:val="000000"/>
                <w:kern w:val="0"/>
                <w:sz w:val="21"/>
                <w:szCs w:val="21"/>
                <w:lang w:val="en-US" w:eastAsia="zh-CN" w:bidi="ar"/>
              </w:rPr>
            </w:pPr>
            <w:r>
              <w:rPr>
                <w:rFonts w:hint="eastAsia" w:ascii="仿宋" w:hAnsi="仿宋" w:eastAsia="仿宋" w:cs="仿宋"/>
                <w:kern w:val="0"/>
                <w:sz w:val="21"/>
                <w:szCs w:val="20"/>
                <w:lang w:val="en-US" w:eastAsia="zh-CN" w:bidi="ar-SA"/>
              </w:rPr>
              <w:t>中国科学院西北高原生物研究所</w:t>
            </w:r>
          </w:p>
        </w:tc>
        <w:tc>
          <w:tcPr>
            <w:tcW w:w="1239" w:type="dxa"/>
            <w:vAlign w:val="center"/>
          </w:tcPr>
          <w:p w14:paraId="41626357">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4841C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trPr>
        <w:tc>
          <w:tcPr>
            <w:tcW w:w="756" w:type="dxa"/>
            <w:vAlign w:val="center"/>
          </w:tcPr>
          <w:p w14:paraId="47F4BE9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7</w:t>
            </w:r>
          </w:p>
        </w:tc>
        <w:tc>
          <w:tcPr>
            <w:tcW w:w="750" w:type="dxa"/>
            <w:shd w:val="clear" w:color="auto" w:fill="auto"/>
            <w:vAlign w:val="center"/>
          </w:tcPr>
          <w:p w14:paraId="0C85F3E7">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4.4</w:t>
            </w:r>
          </w:p>
        </w:tc>
        <w:tc>
          <w:tcPr>
            <w:tcW w:w="3917" w:type="dxa"/>
            <w:shd w:val="clear" w:color="auto" w:fill="auto"/>
            <w:vAlign w:val="center"/>
          </w:tcPr>
          <w:p w14:paraId="0862E58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删除“采收要求”，增加“产品检测”</w:t>
            </w:r>
          </w:p>
        </w:tc>
        <w:tc>
          <w:tcPr>
            <w:tcW w:w="2449" w:type="dxa"/>
            <w:vAlign w:val="center"/>
          </w:tcPr>
          <w:p w14:paraId="2FD3A897">
            <w:pPr>
              <w:keepNext w:val="0"/>
              <w:keepLines w:val="0"/>
              <w:suppressLineNumbers w:val="0"/>
              <w:spacing w:before="0" w:beforeAutospacing="0" w:after="0" w:afterAutospacing="0"/>
              <w:ind w:left="0" w:leftChars="0" w:right="0" w:rightChars="0"/>
              <w:jc w:val="center"/>
              <w:rPr>
                <w:rFonts w:hint="eastAsia" w:ascii="Times New Roman" w:hAnsi="Times New Roman" w:eastAsia="仿宋" w:cs="仿宋"/>
                <w:color w:val="000000"/>
                <w:kern w:val="0"/>
                <w:sz w:val="21"/>
                <w:szCs w:val="21"/>
                <w:lang w:val="en-US" w:eastAsia="zh-CN" w:bidi="ar"/>
              </w:rPr>
            </w:pPr>
            <w:r>
              <w:rPr>
                <w:rFonts w:hint="eastAsia" w:ascii="仿宋" w:hAnsi="仿宋" w:eastAsia="仿宋" w:cs="仿宋"/>
                <w:kern w:val="0"/>
                <w:sz w:val="21"/>
                <w:szCs w:val="20"/>
                <w:lang w:val="en-US" w:eastAsia="zh-CN" w:bidi="ar-SA"/>
              </w:rPr>
              <w:t>青海大学</w:t>
            </w:r>
          </w:p>
        </w:tc>
        <w:tc>
          <w:tcPr>
            <w:tcW w:w="1239" w:type="dxa"/>
            <w:shd w:val="clear" w:color="auto" w:fill="auto"/>
            <w:vAlign w:val="center"/>
          </w:tcPr>
          <w:p w14:paraId="4EFD62D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7577D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756" w:type="dxa"/>
            <w:vAlign w:val="center"/>
          </w:tcPr>
          <w:p w14:paraId="1292DC6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8</w:t>
            </w:r>
          </w:p>
        </w:tc>
        <w:tc>
          <w:tcPr>
            <w:tcW w:w="750" w:type="dxa"/>
            <w:shd w:val="clear" w:color="auto" w:fill="auto"/>
            <w:vAlign w:val="center"/>
          </w:tcPr>
          <w:p w14:paraId="4B742C7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5</w:t>
            </w:r>
          </w:p>
        </w:tc>
        <w:tc>
          <w:tcPr>
            <w:tcW w:w="3917" w:type="dxa"/>
            <w:shd w:val="clear" w:color="auto" w:fill="auto"/>
            <w:vAlign w:val="center"/>
          </w:tcPr>
          <w:p w14:paraId="795E308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调整整体框架为整理、预冷方式及堆码</w:t>
            </w:r>
          </w:p>
        </w:tc>
        <w:tc>
          <w:tcPr>
            <w:tcW w:w="2449" w:type="dxa"/>
            <w:vAlign w:val="center"/>
          </w:tcPr>
          <w:p w14:paraId="6EF16A59">
            <w:pPr>
              <w:keepNext w:val="0"/>
              <w:keepLines w:val="0"/>
              <w:suppressLineNumbers w:val="0"/>
              <w:spacing w:before="0" w:beforeAutospacing="0" w:after="0" w:afterAutospacing="0"/>
              <w:ind w:left="0" w:leftChars="0" w:right="0" w:rightChars="0"/>
              <w:jc w:val="center"/>
              <w:rPr>
                <w:rFonts w:hint="eastAsia" w:ascii="Times New Roman" w:hAnsi="Times New Roman" w:eastAsia="仿宋" w:cs="仿宋"/>
                <w:color w:val="000000"/>
                <w:kern w:val="0"/>
                <w:sz w:val="21"/>
                <w:szCs w:val="21"/>
                <w:lang w:val="en-US" w:eastAsia="zh-CN" w:bidi="ar"/>
              </w:rPr>
            </w:pPr>
            <w:r>
              <w:rPr>
                <w:rFonts w:hint="eastAsia" w:ascii="仿宋" w:hAnsi="仿宋" w:eastAsia="仿宋" w:cs="仿宋"/>
                <w:kern w:val="0"/>
                <w:sz w:val="21"/>
                <w:szCs w:val="20"/>
                <w:lang w:val="en-US" w:eastAsia="zh-CN" w:bidi="ar-SA"/>
              </w:rPr>
              <w:t>青海省农业技术推广总站</w:t>
            </w:r>
          </w:p>
        </w:tc>
        <w:tc>
          <w:tcPr>
            <w:tcW w:w="1239" w:type="dxa"/>
            <w:shd w:val="clear" w:color="auto" w:fill="auto"/>
            <w:vAlign w:val="center"/>
          </w:tcPr>
          <w:p w14:paraId="282DFDD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1DA1A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756" w:type="dxa"/>
            <w:vAlign w:val="center"/>
          </w:tcPr>
          <w:p w14:paraId="222907F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9</w:t>
            </w:r>
          </w:p>
        </w:tc>
        <w:tc>
          <w:tcPr>
            <w:tcW w:w="750" w:type="dxa"/>
            <w:shd w:val="clear" w:color="auto" w:fill="auto"/>
            <w:vAlign w:val="center"/>
          </w:tcPr>
          <w:p w14:paraId="7E78487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6</w:t>
            </w:r>
          </w:p>
        </w:tc>
        <w:tc>
          <w:tcPr>
            <w:tcW w:w="3917" w:type="dxa"/>
            <w:shd w:val="clear" w:color="auto" w:fill="auto"/>
            <w:vAlign w:val="center"/>
          </w:tcPr>
          <w:p w14:paraId="450C3D3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修改为“包装、标识与装箱”。</w:t>
            </w:r>
          </w:p>
        </w:tc>
        <w:tc>
          <w:tcPr>
            <w:tcW w:w="2449" w:type="dxa"/>
            <w:vAlign w:val="center"/>
          </w:tcPr>
          <w:p w14:paraId="36D0981D">
            <w:pPr>
              <w:keepNext w:val="0"/>
              <w:keepLines w:val="0"/>
              <w:suppressLineNumbers w:val="0"/>
              <w:spacing w:before="0" w:beforeAutospacing="0" w:after="0" w:afterAutospacing="0"/>
              <w:ind w:left="0" w:leftChars="0" w:right="0" w:rightChars="0"/>
              <w:jc w:val="center"/>
              <w:rPr>
                <w:rFonts w:hint="eastAsia" w:ascii="Times New Roman" w:hAnsi="Times New Roman" w:eastAsia="仿宋" w:cs="仿宋"/>
                <w:color w:val="000000"/>
                <w:kern w:val="0"/>
                <w:sz w:val="21"/>
                <w:szCs w:val="21"/>
                <w:lang w:val="en-US" w:eastAsia="zh-CN" w:bidi="ar"/>
              </w:rPr>
            </w:pPr>
            <w:r>
              <w:rPr>
                <w:rFonts w:hint="eastAsia" w:ascii="仿宋" w:hAnsi="仿宋" w:eastAsia="仿宋" w:cs="仿宋"/>
                <w:kern w:val="0"/>
                <w:sz w:val="21"/>
                <w:szCs w:val="20"/>
                <w:lang w:val="en-US" w:eastAsia="zh-CN" w:bidi="ar-SA"/>
              </w:rPr>
              <w:t>青海省农林科学院</w:t>
            </w:r>
          </w:p>
        </w:tc>
        <w:tc>
          <w:tcPr>
            <w:tcW w:w="1239" w:type="dxa"/>
            <w:shd w:val="clear" w:color="auto" w:fill="auto"/>
            <w:vAlign w:val="center"/>
          </w:tcPr>
          <w:p w14:paraId="2856EB3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66EC9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756" w:type="dxa"/>
            <w:vAlign w:val="center"/>
          </w:tcPr>
          <w:p w14:paraId="2740E71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10</w:t>
            </w:r>
          </w:p>
        </w:tc>
        <w:tc>
          <w:tcPr>
            <w:tcW w:w="750" w:type="dxa"/>
            <w:vAlign w:val="center"/>
          </w:tcPr>
          <w:p w14:paraId="7CE163A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7</w:t>
            </w:r>
          </w:p>
        </w:tc>
        <w:tc>
          <w:tcPr>
            <w:tcW w:w="3917" w:type="dxa"/>
            <w:vAlign w:val="center"/>
          </w:tcPr>
          <w:p w14:paraId="3C3E793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将7.1、7.2、7.3、7.4归类整合</w:t>
            </w:r>
          </w:p>
        </w:tc>
        <w:tc>
          <w:tcPr>
            <w:tcW w:w="2449" w:type="dxa"/>
            <w:vAlign w:val="center"/>
          </w:tcPr>
          <w:p w14:paraId="59AE4AE8">
            <w:pPr>
              <w:keepNext w:val="0"/>
              <w:keepLines w:val="0"/>
              <w:suppressLineNumbers w:val="0"/>
              <w:spacing w:before="0" w:beforeAutospacing="0" w:after="0" w:afterAutospacing="0"/>
              <w:ind w:left="0" w:leftChars="0" w:right="0" w:rightChars="0"/>
              <w:jc w:val="center"/>
              <w:rPr>
                <w:rFonts w:hint="eastAsia" w:ascii="Times New Roman" w:hAnsi="Times New Roman" w:eastAsia="仿宋" w:cs="仿宋"/>
                <w:color w:val="000000"/>
                <w:kern w:val="0"/>
                <w:sz w:val="21"/>
                <w:szCs w:val="21"/>
                <w:lang w:val="en-US" w:eastAsia="zh-CN" w:bidi="ar"/>
              </w:rPr>
            </w:pPr>
            <w:r>
              <w:rPr>
                <w:rFonts w:hint="default" w:ascii="仿宋" w:hAnsi="仿宋" w:eastAsia="仿宋" w:cs="仿宋"/>
                <w:kern w:val="0"/>
                <w:sz w:val="21"/>
                <w:szCs w:val="20"/>
                <w:lang w:val="en-US" w:eastAsia="zh-CN" w:bidi="ar-SA"/>
              </w:rPr>
              <w:t>青海省农林科学院</w:t>
            </w:r>
          </w:p>
        </w:tc>
        <w:tc>
          <w:tcPr>
            <w:tcW w:w="1239" w:type="dxa"/>
            <w:vAlign w:val="center"/>
          </w:tcPr>
          <w:p w14:paraId="1C22EB3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r w14:paraId="62B09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756" w:type="dxa"/>
            <w:vAlign w:val="center"/>
          </w:tcPr>
          <w:p w14:paraId="418273F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11</w:t>
            </w:r>
          </w:p>
        </w:tc>
        <w:tc>
          <w:tcPr>
            <w:tcW w:w="750" w:type="dxa"/>
            <w:vAlign w:val="center"/>
          </w:tcPr>
          <w:p w14:paraId="6CAA127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9</w:t>
            </w:r>
          </w:p>
        </w:tc>
        <w:tc>
          <w:tcPr>
            <w:tcW w:w="3917" w:type="dxa"/>
            <w:vAlign w:val="center"/>
          </w:tcPr>
          <w:p w14:paraId="0EDB691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left"/>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修改为“交接”并增加检疫</w:t>
            </w:r>
          </w:p>
        </w:tc>
        <w:tc>
          <w:tcPr>
            <w:tcW w:w="2449" w:type="dxa"/>
            <w:vAlign w:val="center"/>
          </w:tcPr>
          <w:p w14:paraId="7BD2F2A9">
            <w:pPr>
              <w:keepNext w:val="0"/>
              <w:keepLines w:val="0"/>
              <w:suppressLineNumbers w:val="0"/>
              <w:spacing w:before="0" w:beforeAutospacing="0" w:after="0" w:afterAutospacing="0"/>
              <w:ind w:left="0" w:leftChars="0" w:right="0" w:rightChars="0"/>
              <w:jc w:val="center"/>
              <w:rPr>
                <w:rFonts w:hint="eastAsia" w:ascii="Times New Roman" w:hAnsi="Times New Roman" w:eastAsia="仿宋" w:cs="仿宋"/>
                <w:color w:val="000000"/>
                <w:kern w:val="0"/>
                <w:sz w:val="21"/>
                <w:szCs w:val="21"/>
                <w:lang w:val="en-US" w:eastAsia="zh-CN" w:bidi="ar"/>
              </w:rPr>
            </w:pPr>
            <w:r>
              <w:rPr>
                <w:rFonts w:hint="eastAsia" w:ascii="仿宋" w:hAnsi="仿宋" w:eastAsia="仿宋" w:cs="仿宋"/>
                <w:kern w:val="2"/>
                <w:sz w:val="21"/>
                <w:szCs w:val="21"/>
                <w:lang w:val="en-US" w:eastAsia="zh-CN" w:bidi="ar-SA"/>
              </w:rPr>
              <w:t>原青海省标准化研究所</w:t>
            </w:r>
          </w:p>
        </w:tc>
        <w:tc>
          <w:tcPr>
            <w:tcW w:w="1239" w:type="dxa"/>
            <w:vAlign w:val="center"/>
          </w:tcPr>
          <w:p w14:paraId="7CD1072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eastAsia" w:ascii="Times New Roman" w:hAnsi="Times New Roman" w:eastAsia="仿宋" w:cs="仿宋"/>
                <w:color w:val="000000"/>
                <w:kern w:val="0"/>
                <w:sz w:val="21"/>
                <w:szCs w:val="21"/>
                <w:lang w:val="en-US" w:eastAsia="zh-CN" w:bidi="ar"/>
              </w:rPr>
            </w:pPr>
            <w:r>
              <w:rPr>
                <w:rFonts w:hint="eastAsia" w:ascii="Times New Roman" w:hAnsi="Times New Roman" w:eastAsia="仿宋" w:cs="仿宋"/>
                <w:color w:val="000000"/>
                <w:kern w:val="0"/>
                <w:sz w:val="21"/>
                <w:szCs w:val="21"/>
                <w:lang w:val="en-US" w:eastAsia="zh-CN" w:bidi="ar"/>
              </w:rPr>
              <w:t>采纳</w:t>
            </w:r>
          </w:p>
        </w:tc>
      </w:tr>
    </w:tbl>
    <w:p w14:paraId="5BC1B62E">
      <w:pPr>
        <w:jc w:val="left"/>
        <w:rPr>
          <w:rFonts w:hint="eastAsia" w:ascii="Times New Roman" w:hAnsi="Times New Roman" w:eastAsia="仿宋_GB2312" w:cs="Times New Roman"/>
          <w:kern w:val="0"/>
          <w:sz w:val="32"/>
          <w:szCs w:val="32"/>
          <w:lang w:eastAsia="zh-CN"/>
        </w:rPr>
      </w:pPr>
    </w:p>
    <w:p w14:paraId="692F8F1B">
      <w:pPr>
        <w:jc w:val="left"/>
        <w:rPr>
          <w:rFonts w:ascii="Times New Roman" w:hAnsi="Times New Roman" w:eastAsia="仿宋_GB2312" w:cs="Times New Roman"/>
          <w:kern w:val="0"/>
          <w:sz w:val="32"/>
          <w:szCs w:val="32"/>
        </w:rPr>
      </w:pPr>
    </w:p>
    <w:sectPr>
      <w:pgSz w:w="11906" w:h="16838"/>
      <w:pgMar w:top="1440" w:right="1797" w:bottom="1440" w:left="179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8688"/>
      <w:docPartObj>
        <w:docPartGallery w:val="autotext"/>
      </w:docPartObj>
    </w:sdtPr>
    <w:sdtEndPr>
      <w:rPr>
        <w:lang w:val="zh-CN"/>
      </w:rPr>
    </w:sdtEndPr>
    <w:sdtContent>
      <w:p w14:paraId="76B29CE4">
        <w:pPr>
          <w:pStyle w:val="5"/>
          <w:jc w:val="center"/>
        </w:pPr>
        <w:r>
          <w:fldChar w:fldCharType="begin"/>
        </w:r>
        <w:r>
          <w:instrText xml:space="preserve"> PAGE   \* MERGEFORMAT </w:instrText>
        </w:r>
        <w:r>
          <w:fldChar w:fldCharType="separate"/>
        </w:r>
        <w:r>
          <w:rPr>
            <w:lang w:val="zh-CN"/>
          </w:rPr>
          <w:t>19</w:t>
        </w:r>
        <w:r>
          <w:rPr>
            <w:lang w:val="zh-CN"/>
          </w:rPr>
          <w:fldChar w:fldCharType="end"/>
        </w:r>
      </w:p>
    </w:sdtContent>
  </w:sdt>
  <w:p w14:paraId="1F087B55">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096056"/>
    <w:multiLevelType w:val="singleLevel"/>
    <w:tmpl w:val="CD096056"/>
    <w:lvl w:ilvl="0" w:tentative="0">
      <w:start w:val="8"/>
      <w:numFmt w:val="chineseCounting"/>
      <w:suff w:val="nothing"/>
      <w:lvlText w:val="%1、"/>
      <w:lvlJc w:val="left"/>
      <w:rPr>
        <w:rFonts w:hint="eastAsia"/>
      </w:rPr>
    </w:lvl>
  </w:abstractNum>
  <w:abstractNum w:abstractNumId="1">
    <w:nsid w:val="D2C05DC0"/>
    <w:multiLevelType w:val="singleLevel"/>
    <w:tmpl w:val="D2C05DC0"/>
    <w:lvl w:ilvl="0" w:tentative="0">
      <w:start w:val="1"/>
      <w:numFmt w:val="decimal"/>
      <w:suff w:val="nothing"/>
      <w:lvlText w:val="（%1）"/>
      <w:lvlJc w:val="left"/>
    </w:lvl>
  </w:abstractNum>
  <w:abstractNum w:abstractNumId="2">
    <w:nsid w:val="161FA980"/>
    <w:multiLevelType w:val="singleLevel"/>
    <w:tmpl w:val="161FA980"/>
    <w:lvl w:ilvl="0" w:tentative="0">
      <w:start w:val="1"/>
      <w:numFmt w:val="decimal"/>
      <w:suff w:val="nothing"/>
      <w:lvlText w:val="（%1）"/>
      <w:lvlJc w:val="left"/>
      <w:pPr>
        <w:ind w:left="-10"/>
      </w:pPr>
    </w:lvl>
  </w:abstractNum>
  <w:abstractNum w:abstractNumId="3">
    <w:nsid w:val="25C9FFDC"/>
    <w:multiLevelType w:val="singleLevel"/>
    <w:tmpl w:val="25C9FFDC"/>
    <w:lvl w:ilvl="0" w:tentative="0">
      <w:start w:val="3"/>
      <w:numFmt w:val="chineseCounting"/>
      <w:suff w:val="nothing"/>
      <w:lvlText w:val="（%1）"/>
      <w:lvlJc w:val="left"/>
      <w:rPr>
        <w:rFonts w:hint="eastAsia"/>
      </w:rPr>
    </w:lvl>
  </w:abstractNum>
  <w:abstractNum w:abstractNumId="4">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pStyle w:val="45"/>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5">
    <w:nsid w:val="6CEA2025"/>
    <w:multiLevelType w:val="multilevel"/>
    <w:tmpl w:val="6CEA2025"/>
    <w:lvl w:ilvl="0" w:tentative="0">
      <w:start w:val="1"/>
      <w:numFmt w:val="none"/>
      <w:pStyle w:val="16"/>
      <w:suff w:val="nothing"/>
      <w:lvlText w:val="%1"/>
      <w:lvlJc w:val="left"/>
      <w:pPr>
        <w:ind w:left="0" w:firstLine="0"/>
      </w:pPr>
      <w:rPr>
        <w:rFonts w:hint="default" w:ascii="Times New Roman" w:hAnsi="Times New Roman"/>
        <w:b/>
        <w:i w:val="0"/>
        <w:sz w:val="21"/>
      </w:rPr>
    </w:lvl>
    <w:lvl w:ilvl="1" w:tentative="0">
      <w:start w:val="1"/>
      <w:numFmt w:val="decimal"/>
      <w:pStyle w:val="17"/>
      <w:suff w:val="nothing"/>
      <w:lvlText w:val="%1%2　"/>
      <w:lvlJc w:val="left"/>
      <w:pPr>
        <w:ind w:left="0" w:firstLine="0"/>
      </w:pPr>
      <w:rPr>
        <w:rFonts w:hint="eastAsia" w:ascii="黑体" w:hAnsi="Times New Roman" w:eastAsia="黑体"/>
        <w:b w:val="0"/>
        <w:i w:val="0"/>
        <w:sz w:val="21"/>
      </w:rPr>
    </w:lvl>
    <w:lvl w:ilvl="2" w:tentative="0">
      <w:start w:val="1"/>
      <w:numFmt w:val="decimal"/>
      <w:pStyle w:val="18"/>
      <w:suff w:val="nothing"/>
      <w:lvlText w:val="%1%2.%3　"/>
      <w:lvlJc w:val="left"/>
      <w:pPr>
        <w:ind w:left="210" w:firstLine="0"/>
      </w:pPr>
      <w:rPr>
        <w:rFonts w:hint="eastAsia" w:ascii="黑体" w:hAnsi="Times New Roman" w:eastAsia="黑体"/>
        <w:b w:val="0"/>
        <w:i w:val="0"/>
        <w:sz w:val="21"/>
      </w:rPr>
    </w:lvl>
    <w:lvl w:ilvl="3" w:tentative="0">
      <w:start w:val="1"/>
      <w:numFmt w:val="decimal"/>
      <w:pStyle w:val="19"/>
      <w:suff w:val="nothing"/>
      <w:lvlText w:val="%1%2.%3.%4　"/>
      <w:lvlJc w:val="left"/>
      <w:pPr>
        <w:ind w:left="0" w:firstLine="0"/>
      </w:pPr>
      <w:rPr>
        <w:rFonts w:hint="eastAsia" w:ascii="黑体" w:hAnsi="Times New Roman" w:eastAsia="黑体"/>
        <w:b w:val="0"/>
        <w:i w:val="0"/>
        <w:sz w:val="21"/>
      </w:rPr>
    </w:lvl>
    <w:lvl w:ilvl="4" w:tentative="0">
      <w:start w:val="1"/>
      <w:numFmt w:val="decimal"/>
      <w:pStyle w:val="21"/>
      <w:suff w:val="nothing"/>
      <w:lvlText w:val="%1%2.%3.%4.%5　"/>
      <w:lvlJc w:val="left"/>
      <w:pPr>
        <w:ind w:left="0" w:firstLine="0"/>
      </w:pPr>
      <w:rPr>
        <w:rFonts w:hint="eastAsia" w:ascii="黑体" w:hAnsi="Times New Roman" w:eastAsia="黑体"/>
        <w:b w:val="0"/>
        <w:i w:val="0"/>
        <w:sz w:val="21"/>
      </w:rPr>
    </w:lvl>
    <w:lvl w:ilvl="5" w:tentative="0">
      <w:start w:val="1"/>
      <w:numFmt w:val="decimal"/>
      <w:pStyle w:val="22"/>
      <w:suff w:val="nothing"/>
      <w:lvlText w:val="%1%2.%3.%4.%5.%6　"/>
      <w:lvlJc w:val="left"/>
      <w:pPr>
        <w:ind w:left="0" w:firstLine="0"/>
      </w:pPr>
      <w:rPr>
        <w:rFonts w:hint="eastAsia" w:ascii="黑体" w:hAnsi="Times New Roman" w:eastAsia="黑体"/>
        <w:b w:val="0"/>
        <w:i w:val="0"/>
        <w:sz w:val="21"/>
      </w:rPr>
    </w:lvl>
    <w:lvl w:ilvl="6" w:tentative="0">
      <w:start w:val="1"/>
      <w:numFmt w:val="decimal"/>
      <w:pStyle w:val="2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DA5"/>
    <w:rsid w:val="00002E13"/>
    <w:rsid w:val="00015131"/>
    <w:rsid w:val="00021255"/>
    <w:rsid w:val="00036E05"/>
    <w:rsid w:val="00045B0F"/>
    <w:rsid w:val="00051592"/>
    <w:rsid w:val="00064592"/>
    <w:rsid w:val="00065A9B"/>
    <w:rsid w:val="000718FC"/>
    <w:rsid w:val="00077817"/>
    <w:rsid w:val="00085B27"/>
    <w:rsid w:val="00087507"/>
    <w:rsid w:val="000913F7"/>
    <w:rsid w:val="00094724"/>
    <w:rsid w:val="000B7F16"/>
    <w:rsid w:val="000D0296"/>
    <w:rsid w:val="000D57F8"/>
    <w:rsid w:val="000D7132"/>
    <w:rsid w:val="000E258A"/>
    <w:rsid w:val="000F1252"/>
    <w:rsid w:val="000F6EDA"/>
    <w:rsid w:val="00100152"/>
    <w:rsid w:val="00105533"/>
    <w:rsid w:val="0011284D"/>
    <w:rsid w:val="0011521F"/>
    <w:rsid w:val="0011792A"/>
    <w:rsid w:val="0012160A"/>
    <w:rsid w:val="00130AAB"/>
    <w:rsid w:val="001322FF"/>
    <w:rsid w:val="00140440"/>
    <w:rsid w:val="00145565"/>
    <w:rsid w:val="00146A23"/>
    <w:rsid w:val="00152270"/>
    <w:rsid w:val="0015718E"/>
    <w:rsid w:val="001609A5"/>
    <w:rsid w:val="00160A52"/>
    <w:rsid w:val="001734EA"/>
    <w:rsid w:val="00175177"/>
    <w:rsid w:val="00193CC5"/>
    <w:rsid w:val="001A7022"/>
    <w:rsid w:val="001B69AB"/>
    <w:rsid w:val="001D3A31"/>
    <w:rsid w:val="001E0EDE"/>
    <w:rsid w:val="001E17B1"/>
    <w:rsid w:val="001E2B92"/>
    <w:rsid w:val="00210F83"/>
    <w:rsid w:val="0022157F"/>
    <w:rsid w:val="00230C01"/>
    <w:rsid w:val="00237638"/>
    <w:rsid w:val="0024727E"/>
    <w:rsid w:val="00254FEE"/>
    <w:rsid w:val="00255AF2"/>
    <w:rsid w:val="0026213A"/>
    <w:rsid w:val="00272F5A"/>
    <w:rsid w:val="00275700"/>
    <w:rsid w:val="00276CA8"/>
    <w:rsid w:val="0027790B"/>
    <w:rsid w:val="00287A59"/>
    <w:rsid w:val="0029303E"/>
    <w:rsid w:val="00293AE8"/>
    <w:rsid w:val="0029648B"/>
    <w:rsid w:val="002A2042"/>
    <w:rsid w:val="002B2B0C"/>
    <w:rsid w:val="002B47FE"/>
    <w:rsid w:val="002D7845"/>
    <w:rsid w:val="002E560D"/>
    <w:rsid w:val="002F3B89"/>
    <w:rsid w:val="002F549A"/>
    <w:rsid w:val="002F79F3"/>
    <w:rsid w:val="003014EF"/>
    <w:rsid w:val="00302F58"/>
    <w:rsid w:val="00303D70"/>
    <w:rsid w:val="00310984"/>
    <w:rsid w:val="00315E31"/>
    <w:rsid w:val="00316801"/>
    <w:rsid w:val="003317CF"/>
    <w:rsid w:val="00334E34"/>
    <w:rsid w:val="00337A6E"/>
    <w:rsid w:val="00344C16"/>
    <w:rsid w:val="00344E7B"/>
    <w:rsid w:val="00350102"/>
    <w:rsid w:val="00350748"/>
    <w:rsid w:val="003555F3"/>
    <w:rsid w:val="003776E9"/>
    <w:rsid w:val="0038136E"/>
    <w:rsid w:val="003A0AD4"/>
    <w:rsid w:val="003A159F"/>
    <w:rsid w:val="003A45AB"/>
    <w:rsid w:val="003A4EF9"/>
    <w:rsid w:val="003A58C0"/>
    <w:rsid w:val="003A73D2"/>
    <w:rsid w:val="003A7BD5"/>
    <w:rsid w:val="003B5EF3"/>
    <w:rsid w:val="003C0110"/>
    <w:rsid w:val="003C2838"/>
    <w:rsid w:val="003C5265"/>
    <w:rsid w:val="003C63F1"/>
    <w:rsid w:val="003D19EA"/>
    <w:rsid w:val="003D2FA3"/>
    <w:rsid w:val="003D4303"/>
    <w:rsid w:val="003E0B4C"/>
    <w:rsid w:val="003F57CB"/>
    <w:rsid w:val="003F7A0B"/>
    <w:rsid w:val="00405C03"/>
    <w:rsid w:val="00413200"/>
    <w:rsid w:val="00424987"/>
    <w:rsid w:val="00426DAD"/>
    <w:rsid w:val="00441426"/>
    <w:rsid w:val="0044286F"/>
    <w:rsid w:val="00444E96"/>
    <w:rsid w:val="00447905"/>
    <w:rsid w:val="00447BB3"/>
    <w:rsid w:val="00451633"/>
    <w:rsid w:val="00455B8A"/>
    <w:rsid w:val="00460391"/>
    <w:rsid w:val="004727D0"/>
    <w:rsid w:val="0048459B"/>
    <w:rsid w:val="00495F84"/>
    <w:rsid w:val="004961C8"/>
    <w:rsid w:val="004A06B8"/>
    <w:rsid w:val="004A207F"/>
    <w:rsid w:val="004B575F"/>
    <w:rsid w:val="004D4108"/>
    <w:rsid w:val="004D673C"/>
    <w:rsid w:val="004D6B1A"/>
    <w:rsid w:val="004E01E3"/>
    <w:rsid w:val="004E244C"/>
    <w:rsid w:val="004E4FD4"/>
    <w:rsid w:val="004E706C"/>
    <w:rsid w:val="004F24BD"/>
    <w:rsid w:val="00514EEE"/>
    <w:rsid w:val="00516482"/>
    <w:rsid w:val="0052316C"/>
    <w:rsid w:val="0053136C"/>
    <w:rsid w:val="00535FF5"/>
    <w:rsid w:val="00567599"/>
    <w:rsid w:val="00567C01"/>
    <w:rsid w:val="00575132"/>
    <w:rsid w:val="00593C25"/>
    <w:rsid w:val="005954B0"/>
    <w:rsid w:val="005A6D87"/>
    <w:rsid w:val="005B52BC"/>
    <w:rsid w:val="005B747A"/>
    <w:rsid w:val="005D5731"/>
    <w:rsid w:val="005E13AF"/>
    <w:rsid w:val="005E1D0C"/>
    <w:rsid w:val="005F6C58"/>
    <w:rsid w:val="00601FE7"/>
    <w:rsid w:val="0060415C"/>
    <w:rsid w:val="00610DBF"/>
    <w:rsid w:val="00621DF1"/>
    <w:rsid w:val="00624415"/>
    <w:rsid w:val="00633082"/>
    <w:rsid w:val="00634255"/>
    <w:rsid w:val="00643605"/>
    <w:rsid w:val="0064717F"/>
    <w:rsid w:val="006631F2"/>
    <w:rsid w:val="00682CC5"/>
    <w:rsid w:val="006A3A6C"/>
    <w:rsid w:val="006A457F"/>
    <w:rsid w:val="006B526A"/>
    <w:rsid w:val="006C4C7A"/>
    <w:rsid w:val="006C5D7B"/>
    <w:rsid w:val="006C6DDA"/>
    <w:rsid w:val="006C7080"/>
    <w:rsid w:val="006E1C1B"/>
    <w:rsid w:val="006E5B79"/>
    <w:rsid w:val="006F245C"/>
    <w:rsid w:val="006F57F5"/>
    <w:rsid w:val="006F5863"/>
    <w:rsid w:val="006F5D2C"/>
    <w:rsid w:val="00700155"/>
    <w:rsid w:val="007011DD"/>
    <w:rsid w:val="007035CE"/>
    <w:rsid w:val="007039DE"/>
    <w:rsid w:val="00722942"/>
    <w:rsid w:val="00730C49"/>
    <w:rsid w:val="007448C6"/>
    <w:rsid w:val="00745825"/>
    <w:rsid w:val="0075270E"/>
    <w:rsid w:val="00753623"/>
    <w:rsid w:val="00757103"/>
    <w:rsid w:val="0076458A"/>
    <w:rsid w:val="0076664D"/>
    <w:rsid w:val="00773483"/>
    <w:rsid w:val="00775B34"/>
    <w:rsid w:val="00780109"/>
    <w:rsid w:val="00780ABA"/>
    <w:rsid w:val="007826A6"/>
    <w:rsid w:val="00792378"/>
    <w:rsid w:val="007B094F"/>
    <w:rsid w:val="007B2C87"/>
    <w:rsid w:val="007B7BED"/>
    <w:rsid w:val="007C38D1"/>
    <w:rsid w:val="007C7081"/>
    <w:rsid w:val="007D2E2C"/>
    <w:rsid w:val="007E4943"/>
    <w:rsid w:val="007F701E"/>
    <w:rsid w:val="007F75FA"/>
    <w:rsid w:val="00810725"/>
    <w:rsid w:val="008216B1"/>
    <w:rsid w:val="00834A59"/>
    <w:rsid w:val="008467E5"/>
    <w:rsid w:val="00850CD9"/>
    <w:rsid w:val="00850D21"/>
    <w:rsid w:val="00852513"/>
    <w:rsid w:val="008543E6"/>
    <w:rsid w:val="008545E4"/>
    <w:rsid w:val="008613B2"/>
    <w:rsid w:val="008621B3"/>
    <w:rsid w:val="008651CA"/>
    <w:rsid w:val="0086737C"/>
    <w:rsid w:val="008771A8"/>
    <w:rsid w:val="008801DC"/>
    <w:rsid w:val="00885AEB"/>
    <w:rsid w:val="008971D1"/>
    <w:rsid w:val="008B277B"/>
    <w:rsid w:val="008B581B"/>
    <w:rsid w:val="008B6D65"/>
    <w:rsid w:val="008C0D5F"/>
    <w:rsid w:val="008F29B9"/>
    <w:rsid w:val="00907D82"/>
    <w:rsid w:val="00910B0B"/>
    <w:rsid w:val="0091481B"/>
    <w:rsid w:val="00925928"/>
    <w:rsid w:val="00954F21"/>
    <w:rsid w:val="009611BD"/>
    <w:rsid w:val="0097391E"/>
    <w:rsid w:val="00973ABB"/>
    <w:rsid w:val="00973F6F"/>
    <w:rsid w:val="009775BD"/>
    <w:rsid w:val="009859EB"/>
    <w:rsid w:val="0098607A"/>
    <w:rsid w:val="00992092"/>
    <w:rsid w:val="00994EAB"/>
    <w:rsid w:val="0099664D"/>
    <w:rsid w:val="009973A4"/>
    <w:rsid w:val="009A12F9"/>
    <w:rsid w:val="009A4AD4"/>
    <w:rsid w:val="009A58BA"/>
    <w:rsid w:val="009C0993"/>
    <w:rsid w:val="009C48DB"/>
    <w:rsid w:val="009D4406"/>
    <w:rsid w:val="009E3A05"/>
    <w:rsid w:val="009F0C77"/>
    <w:rsid w:val="009F1224"/>
    <w:rsid w:val="009F23F1"/>
    <w:rsid w:val="009F6E6E"/>
    <w:rsid w:val="00A129CE"/>
    <w:rsid w:val="00A208E6"/>
    <w:rsid w:val="00A249DB"/>
    <w:rsid w:val="00A275BE"/>
    <w:rsid w:val="00A3284C"/>
    <w:rsid w:val="00A41FDA"/>
    <w:rsid w:val="00A435C7"/>
    <w:rsid w:val="00A51404"/>
    <w:rsid w:val="00A537DE"/>
    <w:rsid w:val="00A66DC5"/>
    <w:rsid w:val="00A717E9"/>
    <w:rsid w:val="00A81646"/>
    <w:rsid w:val="00AA1238"/>
    <w:rsid w:val="00AA22DA"/>
    <w:rsid w:val="00AA519F"/>
    <w:rsid w:val="00AB14FA"/>
    <w:rsid w:val="00AB7952"/>
    <w:rsid w:val="00AC65C8"/>
    <w:rsid w:val="00AC6C0B"/>
    <w:rsid w:val="00AD0A05"/>
    <w:rsid w:val="00AD50B3"/>
    <w:rsid w:val="00AD61B2"/>
    <w:rsid w:val="00AE51B2"/>
    <w:rsid w:val="00AF02FA"/>
    <w:rsid w:val="00AF2E8E"/>
    <w:rsid w:val="00AF4AF3"/>
    <w:rsid w:val="00B1279E"/>
    <w:rsid w:val="00B149D6"/>
    <w:rsid w:val="00B14CC5"/>
    <w:rsid w:val="00B30484"/>
    <w:rsid w:val="00B36B2C"/>
    <w:rsid w:val="00B37D5E"/>
    <w:rsid w:val="00B41491"/>
    <w:rsid w:val="00B4244B"/>
    <w:rsid w:val="00B44AD7"/>
    <w:rsid w:val="00B62D34"/>
    <w:rsid w:val="00B65E44"/>
    <w:rsid w:val="00B727A2"/>
    <w:rsid w:val="00B729DD"/>
    <w:rsid w:val="00B72DC9"/>
    <w:rsid w:val="00B76B8C"/>
    <w:rsid w:val="00B87B3F"/>
    <w:rsid w:val="00B94B87"/>
    <w:rsid w:val="00BB1288"/>
    <w:rsid w:val="00BB3133"/>
    <w:rsid w:val="00BB4747"/>
    <w:rsid w:val="00BC5219"/>
    <w:rsid w:val="00BC6A6C"/>
    <w:rsid w:val="00BD1BE0"/>
    <w:rsid w:val="00BD304B"/>
    <w:rsid w:val="00BE1679"/>
    <w:rsid w:val="00BE442F"/>
    <w:rsid w:val="00BE73D3"/>
    <w:rsid w:val="00BE7F4F"/>
    <w:rsid w:val="00BF06C5"/>
    <w:rsid w:val="00C01CC4"/>
    <w:rsid w:val="00C01CE6"/>
    <w:rsid w:val="00C07DDA"/>
    <w:rsid w:val="00C11933"/>
    <w:rsid w:val="00C11C1D"/>
    <w:rsid w:val="00C141D2"/>
    <w:rsid w:val="00C14681"/>
    <w:rsid w:val="00C23494"/>
    <w:rsid w:val="00C31E33"/>
    <w:rsid w:val="00C50A33"/>
    <w:rsid w:val="00C562E4"/>
    <w:rsid w:val="00C57927"/>
    <w:rsid w:val="00C61987"/>
    <w:rsid w:val="00C61B54"/>
    <w:rsid w:val="00C660B8"/>
    <w:rsid w:val="00C668B5"/>
    <w:rsid w:val="00C71E6F"/>
    <w:rsid w:val="00C80EC5"/>
    <w:rsid w:val="00CA3E78"/>
    <w:rsid w:val="00CA59D5"/>
    <w:rsid w:val="00CB060B"/>
    <w:rsid w:val="00CC39D2"/>
    <w:rsid w:val="00CC3CAC"/>
    <w:rsid w:val="00CC3E49"/>
    <w:rsid w:val="00CE3FFD"/>
    <w:rsid w:val="00CE6275"/>
    <w:rsid w:val="00CF375E"/>
    <w:rsid w:val="00CF3DCC"/>
    <w:rsid w:val="00CF56F8"/>
    <w:rsid w:val="00CF64EC"/>
    <w:rsid w:val="00D02AEA"/>
    <w:rsid w:val="00D07DE1"/>
    <w:rsid w:val="00D1281D"/>
    <w:rsid w:val="00D16B70"/>
    <w:rsid w:val="00D209A6"/>
    <w:rsid w:val="00D24D1F"/>
    <w:rsid w:val="00D25B50"/>
    <w:rsid w:val="00D326D8"/>
    <w:rsid w:val="00D356E0"/>
    <w:rsid w:val="00D43301"/>
    <w:rsid w:val="00D46521"/>
    <w:rsid w:val="00D46BB4"/>
    <w:rsid w:val="00D509B6"/>
    <w:rsid w:val="00D50B61"/>
    <w:rsid w:val="00D543C6"/>
    <w:rsid w:val="00D62BE6"/>
    <w:rsid w:val="00D84E3C"/>
    <w:rsid w:val="00D85751"/>
    <w:rsid w:val="00DB3016"/>
    <w:rsid w:val="00DB57F9"/>
    <w:rsid w:val="00DC6926"/>
    <w:rsid w:val="00DD27AD"/>
    <w:rsid w:val="00DD4CE7"/>
    <w:rsid w:val="00DD66EF"/>
    <w:rsid w:val="00DE2A88"/>
    <w:rsid w:val="00DE5BD7"/>
    <w:rsid w:val="00DF0996"/>
    <w:rsid w:val="00DF17A9"/>
    <w:rsid w:val="00DF196D"/>
    <w:rsid w:val="00E00761"/>
    <w:rsid w:val="00E0248B"/>
    <w:rsid w:val="00E07D6A"/>
    <w:rsid w:val="00E11BC5"/>
    <w:rsid w:val="00E32716"/>
    <w:rsid w:val="00E65709"/>
    <w:rsid w:val="00E67666"/>
    <w:rsid w:val="00E76C72"/>
    <w:rsid w:val="00E85397"/>
    <w:rsid w:val="00E91B0E"/>
    <w:rsid w:val="00EC3F2F"/>
    <w:rsid w:val="00EC5FBF"/>
    <w:rsid w:val="00ED3AC7"/>
    <w:rsid w:val="00ED483F"/>
    <w:rsid w:val="00ED5B39"/>
    <w:rsid w:val="00EE4275"/>
    <w:rsid w:val="00F0221B"/>
    <w:rsid w:val="00F1223C"/>
    <w:rsid w:val="00F16519"/>
    <w:rsid w:val="00F20FF3"/>
    <w:rsid w:val="00F32E23"/>
    <w:rsid w:val="00F33877"/>
    <w:rsid w:val="00F34C69"/>
    <w:rsid w:val="00F60ADA"/>
    <w:rsid w:val="00F66D2F"/>
    <w:rsid w:val="00F66E7B"/>
    <w:rsid w:val="00F71117"/>
    <w:rsid w:val="00F77175"/>
    <w:rsid w:val="00F7765F"/>
    <w:rsid w:val="00F85858"/>
    <w:rsid w:val="00F91061"/>
    <w:rsid w:val="00F94ACE"/>
    <w:rsid w:val="00FA6E19"/>
    <w:rsid w:val="00FE1BAA"/>
    <w:rsid w:val="00FF194B"/>
    <w:rsid w:val="05DB52C9"/>
    <w:rsid w:val="062067FE"/>
    <w:rsid w:val="0B024C2B"/>
    <w:rsid w:val="0B664BA3"/>
    <w:rsid w:val="0B732F2C"/>
    <w:rsid w:val="0CEA36C2"/>
    <w:rsid w:val="0EA92488"/>
    <w:rsid w:val="0FD11EE8"/>
    <w:rsid w:val="15CD28CF"/>
    <w:rsid w:val="175411DF"/>
    <w:rsid w:val="184A5AE5"/>
    <w:rsid w:val="18F3180A"/>
    <w:rsid w:val="1ABA1B2A"/>
    <w:rsid w:val="1B6C3883"/>
    <w:rsid w:val="1BB52A57"/>
    <w:rsid w:val="1CA54299"/>
    <w:rsid w:val="1DF84F34"/>
    <w:rsid w:val="1E746FC2"/>
    <w:rsid w:val="1FB77F8B"/>
    <w:rsid w:val="28F96D0F"/>
    <w:rsid w:val="29EE1455"/>
    <w:rsid w:val="29F60036"/>
    <w:rsid w:val="2A5A7D86"/>
    <w:rsid w:val="2A6F242F"/>
    <w:rsid w:val="3142455D"/>
    <w:rsid w:val="336D4581"/>
    <w:rsid w:val="339D76A0"/>
    <w:rsid w:val="37620175"/>
    <w:rsid w:val="3C354D86"/>
    <w:rsid w:val="3CB42D8F"/>
    <w:rsid w:val="3FAF4679"/>
    <w:rsid w:val="3FFD7882"/>
    <w:rsid w:val="429D584A"/>
    <w:rsid w:val="445B42C9"/>
    <w:rsid w:val="45E67910"/>
    <w:rsid w:val="46B23C34"/>
    <w:rsid w:val="4C8168BC"/>
    <w:rsid w:val="526D7CA2"/>
    <w:rsid w:val="52F22DC6"/>
    <w:rsid w:val="52F30973"/>
    <w:rsid w:val="56B51C18"/>
    <w:rsid w:val="5CB63FF4"/>
    <w:rsid w:val="5D385124"/>
    <w:rsid w:val="5E3061FE"/>
    <w:rsid w:val="60242C80"/>
    <w:rsid w:val="60934D78"/>
    <w:rsid w:val="6094608E"/>
    <w:rsid w:val="624319F7"/>
    <w:rsid w:val="62944DD7"/>
    <w:rsid w:val="637C5AA2"/>
    <w:rsid w:val="666F3B91"/>
    <w:rsid w:val="673E41A6"/>
    <w:rsid w:val="675F4434"/>
    <w:rsid w:val="69A00D9C"/>
    <w:rsid w:val="6D107750"/>
    <w:rsid w:val="6D7C4D48"/>
    <w:rsid w:val="6E0C43BB"/>
    <w:rsid w:val="7110287D"/>
    <w:rsid w:val="71F34F6F"/>
    <w:rsid w:val="72B134A4"/>
    <w:rsid w:val="73CA55D5"/>
    <w:rsid w:val="759100BC"/>
    <w:rsid w:val="75C0415F"/>
    <w:rsid w:val="77CC4DDF"/>
    <w:rsid w:val="7B0F55C7"/>
    <w:rsid w:val="7B5A6D1F"/>
    <w:rsid w:val="7D7A5B90"/>
    <w:rsid w:val="7E3A15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0"/>
    <w:pPr>
      <w:keepNext/>
      <w:widowControl/>
      <w:spacing w:before="60" w:after="60" w:line="240" w:lineRule="atLeast"/>
      <w:jc w:val="center"/>
    </w:pPr>
    <w:rPr>
      <w:rFonts w:ascii="Times New Roman" w:hAnsi="Times New Roman" w:eastAsia="黑体" w:cs="Times New Roman"/>
      <w:spacing w:val="-5"/>
      <w:kern w:val="0"/>
      <w:szCs w:val="20"/>
    </w:rPr>
  </w:style>
  <w:style w:type="paragraph" w:styleId="3">
    <w:name w:val="Body Text"/>
    <w:basedOn w:val="1"/>
    <w:link w:val="41"/>
    <w:semiHidden/>
    <w:unhideWhenUsed/>
    <w:qFormat/>
    <w:uiPriority w:val="99"/>
    <w:pPr>
      <w:spacing w:after="120"/>
    </w:pPr>
  </w:style>
  <w:style w:type="paragraph" w:styleId="4">
    <w:name w:val="Balloon Text"/>
    <w:basedOn w:val="1"/>
    <w:link w:val="2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0">
    <w:name w:val="Table Theme"/>
    <w:basedOn w:val="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paragraph" w:customStyle="1" w:styleId="14">
    <w:name w:val="段"/>
    <w:link w:val="15"/>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15">
    <w:name w:val="段 Char"/>
    <w:link w:val="14"/>
    <w:qFormat/>
    <w:locked/>
    <w:uiPriority w:val="0"/>
    <w:rPr>
      <w:rFonts w:ascii="宋体" w:hAnsi="Times New Roman" w:eastAsia="宋体" w:cs="Times New Roman"/>
      <w:kern w:val="0"/>
      <w:szCs w:val="20"/>
    </w:rPr>
  </w:style>
  <w:style w:type="paragraph" w:customStyle="1" w:styleId="16">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17">
    <w:name w:val="章标题"/>
    <w:next w:val="14"/>
    <w:qFormat/>
    <w:uiPriority w:val="0"/>
    <w:pPr>
      <w:numPr>
        <w:ilvl w:val="1"/>
        <w:numId w:val="1"/>
      </w:numPr>
      <w:spacing w:beforeLines="50" w:afterLines="50"/>
      <w:jc w:val="both"/>
      <w:outlineLvl w:val="1"/>
    </w:pPr>
    <w:rPr>
      <w:rFonts w:ascii="黑体" w:hAnsi="Times New Roman" w:eastAsia="黑体" w:cs="Times New Roman"/>
      <w:kern w:val="0"/>
      <w:sz w:val="21"/>
      <w:szCs w:val="20"/>
      <w:lang w:val="en-US" w:eastAsia="zh-CN" w:bidi="ar-SA"/>
    </w:rPr>
  </w:style>
  <w:style w:type="paragraph" w:customStyle="1" w:styleId="18">
    <w:name w:val="一级条标题"/>
    <w:next w:val="14"/>
    <w:qFormat/>
    <w:uiPriority w:val="0"/>
    <w:pPr>
      <w:numPr>
        <w:ilvl w:val="2"/>
        <w:numId w:val="1"/>
      </w:numPr>
      <w:outlineLvl w:val="2"/>
    </w:pPr>
    <w:rPr>
      <w:rFonts w:ascii="Times New Roman" w:hAnsi="Times New Roman" w:eastAsia="黑体" w:cs="Times New Roman"/>
      <w:kern w:val="0"/>
      <w:sz w:val="21"/>
      <w:szCs w:val="20"/>
      <w:lang w:val="en-US" w:eastAsia="zh-CN" w:bidi="ar-SA"/>
    </w:rPr>
  </w:style>
  <w:style w:type="paragraph" w:customStyle="1" w:styleId="19">
    <w:name w:val="二级条标题"/>
    <w:basedOn w:val="18"/>
    <w:next w:val="14"/>
    <w:qFormat/>
    <w:uiPriority w:val="0"/>
    <w:pPr>
      <w:numPr>
        <w:ilvl w:val="3"/>
      </w:numPr>
      <w:outlineLvl w:val="3"/>
    </w:pPr>
  </w:style>
  <w:style w:type="paragraph" w:customStyle="1" w:styleId="20">
    <w:name w:val="目次、标准名称标题"/>
    <w:basedOn w:val="16"/>
    <w:next w:val="14"/>
    <w:qFormat/>
    <w:uiPriority w:val="0"/>
    <w:pPr>
      <w:spacing w:line="460" w:lineRule="exact"/>
    </w:pPr>
  </w:style>
  <w:style w:type="paragraph" w:customStyle="1" w:styleId="21">
    <w:name w:val="三级条标题"/>
    <w:basedOn w:val="19"/>
    <w:next w:val="14"/>
    <w:qFormat/>
    <w:uiPriority w:val="0"/>
    <w:pPr>
      <w:numPr>
        <w:ilvl w:val="4"/>
      </w:numPr>
      <w:outlineLvl w:val="4"/>
    </w:pPr>
  </w:style>
  <w:style w:type="paragraph" w:customStyle="1" w:styleId="22">
    <w:name w:val="四级条标题"/>
    <w:basedOn w:val="21"/>
    <w:next w:val="14"/>
    <w:qFormat/>
    <w:uiPriority w:val="0"/>
    <w:pPr>
      <w:numPr>
        <w:ilvl w:val="5"/>
      </w:numPr>
      <w:outlineLvl w:val="5"/>
    </w:pPr>
  </w:style>
  <w:style w:type="paragraph" w:customStyle="1" w:styleId="23">
    <w:name w:val="五级条标题"/>
    <w:basedOn w:val="22"/>
    <w:next w:val="14"/>
    <w:qFormat/>
    <w:uiPriority w:val="0"/>
    <w:pPr>
      <w:numPr>
        <w:ilvl w:val="6"/>
      </w:numPr>
      <w:outlineLvl w:val="6"/>
    </w:pPr>
  </w:style>
  <w:style w:type="paragraph" w:customStyle="1" w:styleId="24">
    <w:name w:val="封面正文"/>
    <w:qFormat/>
    <w:uiPriority w:val="0"/>
    <w:pPr>
      <w:jc w:val="both"/>
    </w:pPr>
    <w:rPr>
      <w:rFonts w:ascii="Times New Roman" w:hAnsi="Times New Roman" w:eastAsia="宋体" w:cs="Times New Roman"/>
      <w:kern w:val="0"/>
      <w:sz w:val="20"/>
      <w:szCs w:val="20"/>
      <w:lang w:val="en-US" w:eastAsia="zh-CN" w:bidi="ar-SA"/>
    </w:rPr>
  </w:style>
  <w:style w:type="paragraph" w:customStyle="1" w:styleId="25">
    <w:name w:val="Char Char"/>
    <w:basedOn w:val="1"/>
    <w:qFormat/>
    <w:uiPriority w:val="0"/>
    <w:pPr>
      <w:tabs>
        <w:tab w:val="left" w:pos="360"/>
      </w:tabs>
      <w:ind w:left="360" w:hanging="360"/>
    </w:pPr>
    <w:rPr>
      <w:rFonts w:ascii="Times New Roman" w:hAnsi="Times New Roman" w:eastAsia="宋体" w:cs="Times New Roman"/>
      <w:szCs w:val="20"/>
    </w:rPr>
  </w:style>
  <w:style w:type="character" w:customStyle="1" w:styleId="26">
    <w:name w:val="批注框文本 Char"/>
    <w:basedOn w:val="11"/>
    <w:link w:val="4"/>
    <w:semiHidden/>
    <w:qFormat/>
    <w:uiPriority w:val="99"/>
    <w:rPr>
      <w:sz w:val="18"/>
      <w:szCs w:val="18"/>
    </w:rPr>
  </w:style>
  <w:style w:type="table" w:customStyle="1" w:styleId="27">
    <w:name w:val="网格型1"/>
    <w:basedOn w:val="8"/>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8">
    <w:name w:val="网格型2"/>
    <w:basedOn w:val="8"/>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9">
    <w:name w:val="List Paragraph"/>
    <w:basedOn w:val="1"/>
    <w:qFormat/>
    <w:uiPriority w:val="34"/>
    <w:pPr>
      <w:ind w:firstLine="420" w:firstLineChars="200"/>
    </w:pPr>
  </w:style>
  <w:style w:type="table" w:customStyle="1" w:styleId="30">
    <w:name w:val="网格型3"/>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32">
    <w:name w:val="Table Paragraph"/>
    <w:basedOn w:val="1"/>
    <w:qFormat/>
    <w:uiPriority w:val="1"/>
    <w:pPr>
      <w:autoSpaceDE w:val="0"/>
      <w:autoSpaceDN w:val="0"/>
      <w:spacing w:before="26"/>
      <w:jc w:val="center"/>
    </w:pPr>
    <w:rPr>
      <w:rFonts w:ascii="Times New Roman" w:hAnsi="Times New Roman" w:eastAsia="Times New Roman" w:cs="Times New Roman"/>
      <w:kern w:val="0"/>
      <w:sz w:val="22"/>
      <w:lang w:eastAsia="en-US"/>
    </w:rPr>
  </w:style>
  <w:style w:type="character" w:customStyle="1" w:styleId="33">
    <w:name w:val="nt23k8wseqp"/>
    <w:basedOn w:val="11"/>
    <w:qFormat/>
    <w:uiPriority w:val="0"/>
  </w:style>
  <w:style w:type="character" w:customStyle="1" w:styleId="34">
    <w:name w:val="fs9xgk5wc0a3"/>
    <w:basedOn w:val="11"/>
    <w:qFormat/>
    <w:uiPriority w:val="0"/>
  </w:style>
  <w:style w:type="character" w:customStyle="1" w:styleId="35">
    <w:name w:val="xw4snlr1u73"/>
    <w:basedOn w:val="11"/>
    <w:qFormat/>
    <w:uiPriority w:val="0"/>
  </w:style>
  <w:style w:type="character" w:customStyle="1" w:styleId="36">
    <w:name w:val="j14qdawbh9f"/>
    <w:basedOn w:val="11"/>
    <w:qFormat/>
    <w:uiPriority w:val="0"/>
  </w:style>
  <w:style w:type="character" w:customStyle="1" w:styleId="37">
    <w:name w:val="o3ztbmydvgk3"/>
    <w:basedOn w:val="11"/>
    <w:qFormat/>
    <w:uiPriority w:val="0"/>
  </w:style>
  <w:style w:type="character" w:customStyle="1" w:styleId="38">
    <w:name w:val="xysp69ikon5"/>
    <w:basedOn w:val="11"/>
    <w:qFormat/>
    <w:uiPriority w:val="0"/>
  </w:style>
  <w:style w:type="character" w:customStyle="1" w:styleId="39">
    <w:name w:val="zk8asj248gt"/>
    <w:basedOn w:val="11"/>
    <w:qFormat/>
    <w:uiPriority w:val="0"/>
  </w:style>
  <w:style w:type="table" w:customStyle="1" w:styleId="40">
    <w:name w:val="网格型110"/>
    <w:basedOn w:val="8"/>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1">
    <w:name w:val="正文文本 Char"/>
    <w:basedOn w:val="11"/>
    <w:link w:val="3"/>
    <w:semiHidden/>
    <w:qFormat/>
    <w:uiPriority w:val="99"/>
  </w:style>
  <w:style w:type="paragraph" w:customStyle="1" w:styleId="42">
    <w:name w:val="p17"/>
    <w:basedOn w:val="1"/>
    <w:qFormat/>
    <w:uiPriority w:val="0"/>
    <w:pPr>
      <w:widowControl/>
      <w:ind w:firstLine="420"/>
    </w:pPr>
    <w:rPr>
      <w:rFonts w:ascii="Calibri" w:hAnsi="Calibri" w:eastAsia="宋体" w:cs="Times New Roman"/>
      <w:kern w:val="0"/>
      <w:szCs w:val="21"/>
    </w:rPr>
  </w:style>
  <w:style w:type="character" w:customStyle="1" w:styleId="43">
    <w:name w:val="font21"/>
    <w:basedOn w:val="11"/>
    <w:qFormat/>
    <w:uiPriority w:val="0"/>
    <w:rPr>
      <w:rFonts w:hint="default" w:ascii="Times New Roman" w:hAnsi="Times New Roman" w:cs="Times New Roman"/>
      <w:color w:val="000000"/>
      <w:sz w:val="21"/>
      <w:szCs w:val="21"/>
      <w:u w:val="none"/>
    </w:rPr>
  </w:style>
  <w:style w:type="character" w:customStyle="1" w:styleId="44">
    <w:name w:val="font11"/>
    <w:basedOn w:val="11"/>
    <w:qFormat/>
    <w:uiPriority w:val="0"/>
    <w:rPr>
      <w:rFonts w:hint="eastAsia" w:ascii="宋体" w:hAnsi="宋体" w:eastAsia="宋体"/>
      <w:color w:val="000000"/>
      <w:sz w:val="21"/>
      <w:szCs w:val="21"/>
      <w:u w:val="none"/>
    </w:rPr>
  </w:style>
  <w:style w:type="paragraph" w:customStyle="1" w:styleId="45">
    <w:name w:val="附录表标题"/>
    <w:basedOn w:val="1"/>
    <w:next w:val="14"/>
    <w:autoRedefine/>
    <w:qFormat/>
    <w:uiPriority w:val="0"/>
    <w:pPr>
      <w:numPr>
        <w:ilvl w:val="1"/>
        <w:numId w:val="2"/>
      </w:numPr>
      <w:spacing w:beforeLines="50" w:afterLines="50"/>
      <w:jc w:val="center"/>
    </w:pPr>
    <w:rPr>
      <w:rFonts w:ascii="黑体" w:hAnsi="Times New Roman" w:eastAsia="黑体" w:cs="Times New Roman"/>
      <w:szCs w:val="21"/>
    </w:rPr>
  </w:style>
  <w:style w:type="character" w:customStyle="1" w:styleId="46">
    <w:name w:val="font01"/>
    <w:basedOn w:val="11"/>
    <w:qFormat/>
    <w:uiPriority w:val="0"/>
    <w:rPr>
      <w:rFonts w:hint="eastAsia" w:ascii="宋体" w:hAnsi="宋体" w:eastAsia="宋体" w:cs="宋体"/>
      <w:color w:val="000000"/>
      <w:sz w:val="22"/>
      <w:szCs w:val="22"/>
      <w:u w:val="none"/>
    </w:rPr>
  </w:style>
  <w:style w:type="character" w:customStyle="1" w:styleId="47">
    <w:name w:val="font31"/>
    <w:basedOn w:val="11"/>
    <w:qFormat/>
    <w:uiPriority w:val="0"/>
    <w:rPr>
      <w:rFonts w:hint="eastAsia" w:ascii="宋体" w:hAnsi="宋体" w:eastAsia="宋体" w:cs="宋体"/>
      <w:color w:val="000000"/>
      <w:sz w:val="22"/>
      <w:szCs w:val="22"/>
      <w:u w:val="none"/>
      <w:vertAlign w:val="superscript"/>
    </w:rPr>
  </w:style>
  <w:style w:type="paragraph" w:customStyle="1" w:styleId="48">
    <w:name w:val="标准文件_段"/>
    <w:qFormat/>
    <w:uiPriority w:val="0"/>
    <w:pPr>
      <w:ind w:firstLine="1280" w:firstLineChars="200"/>
      <w:jc w:val="both"/>
    </w:pPr>
    <w:rPr>
      <w:rFonts w:hint="eastAsia" w:ascii="宋体" w:hAnsi="Times New Roman" w:eastAsia="宋体" w:cs="宋体"/>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8CAA0-ED8D-43E6-892E-81608E5DE7F8}">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18</Pages>
  <Words>476</Words>
  <Characters>551</Characters>
  <Lines>66</Lines>
  <Paragraphs>18</Paragraphs>
  <TotalTime>0</TotalTime>
  <ScaleCrop>false</ScaleCrop>
  <LinksUpToDate>false</LinksUpToDate>
  <CharactersWithSpaces>691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2025-07-21T06:53:00Z</dcterms:created>
  <dc:creator>才旦</dc:creator>
  <cp:lastModifiedBy>大神</cp:lastModifiedBy>
  <cp:lastPrinted>2025-08-13T01:39:00Z</cp:lastPrinted>
  <dcterms:modified xsi:type="dcterms:W3CDTF">2010-12-31T16:57:36Z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eyJoZGlkIjoiMGE1ODg3ZDZjOTJiZDJiNWYxMDAwNmQxOGI1NjEzYTYiLCJ1c2VySWQiOiIxMDc0MTUwOTc5In0=</vt:lpwstr>
  </property>
  <property fmtid="{D5CDD505-2E9C-101B-9397-08002B2CF9AE}" pid="3" name="KSOProductBuildVer">
    <vt:lpwstr>2052-12.1.0.26375</vt:lpwstr>
  </property>
  <property fmtid="{D5CDD505-2E9C-101B-9397-08002B2CF9AE}" pid="4" name="ICV">
    <vt:lpwstr>EB3A9935DFCA4110A9AD25F48CBF29BB_13</vt:lpwstr>
  </property>
</Properties>
</file>