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6982E">
      <w:pPr>
        <w:ind w:right="-340" w:rightChars="-162"/>
        <w:jc w:val="center"/>
        <w:rPr>
          <w:rFonts w:hint="eastAsia" w:eastAsia="黑体"/>
          <w:sz w:val="44"/>
          <w:szCs w:val="44"/>
          <w:lang w:eastAsia="zh-CN"/>
        </w:rPr>
      </w:pPr>
      <w:bookmarkStart w:id="0" w:name="_Toc196926987"/>
      <w:bookmarkStart w:id="1" w:name="_Toc20174"/>
    </w:p>
    <w:p w14:paraId="3BFE183D">
      <w:pPr>
        <w:ind w:right="-340" w:rightChars="-162"/>
        <w:jc w:val="center"/>
        <w:rPr>
          <w:rFonts w:hint="eastAsia" w:eastAsia="黑体"/>
          <w:sz w:val="44"/>
          <w:szCs w:val="44"/>
        </w:rPr>
      </w:pPr>
    </w:p>
    <w:p w14:paraId="1D821093">
      <w:pPr>
        <w:ind w:right="-340" w:rightChars="-162"/>
        <w:jc w:val="center"/>
        <w:rPr>
          <w:rFonts w:hint="eastAsia" w:eastAsia="黑体"/>
          <w:sz w:val="44"/>
          <w:szCs w:val="44"/>
        </w:rPr>
      </w:pPr>
    </w:p>
    <w:p w14:paraId="03A77030">
      <w:pPr>
        <w:ind w:right="-340" w:rightChars="-162"/>
        <w:jc w:val="center"/>
        <w:rPr>
          <w:rFonts w:eastAsia="黑体"/>
          <w:sz w:val="44"/>
          <w:szCs w:val="44"/>
        </w:rPr>
      </w:pPr>
      <w:r>
        <w:rPr>
          <w:rFonts w:hint="eastAsia" w:eastAsia="黑体"/>
          <w:sz w:val="44"/>
          <w:szCs w:val="44"/>
        </w:rPr>
        <w:t>《莴苣类蔬菜穴盘育苗技术规程》</w:t>
      </w:r>
    </w:p>
    <w:p w14:paraId="49878C99">
      <w:pPr>
        <w:jc w:val="center"/>
        <w:rPr>
          <w:rFonts w:eastAsia="黑体"/>
          <w:sz w:val="44"/>
          <w:szCs w:val="44"/>
        </w:rPr>
      </w:pPr>
      <w:r>
        <w:rPr>
          <w:rFonts w:hint="eastAsia" w:eastAsia="黑体"/>
          <w:sz w:val="44"/>
          <w:szCs w:val="44"/>
        </w:rPr>
        <w:t>编制说明</w:t>
      </w:r>
    </w:p>
    <w:p w14:paraId="12878318">
      <w:pPr>
        <w:jc w:val="center"/>
        <w:rPr>
          <w:rFonts w:hint="eastAsia" w:ascii="Times New Roman" w:hAnsi="Times New Roman" w:cs="Times New Roman" w:eastAsiaTheme="minorEastAsia"/>
          <w:sz w:val="28"/>
          <w:szCs w:val="28"/>
          <w:lang w:eastAsia="zh-CN"/>
        </w:rPr>
      </w:pPr>
      <w:r>
        <w:rPr>
          <w:rFonts w:hint="eastAsia" w:cs="Times New Roman" w:eastAsiaTheme="minorEastAsia"/>
          <w:sz w:val="28"/>
          <w:szCs w:val="28"/>
          <w:lang w:eastAsia="zh-CN"/>
        </w:rPr>
        <w:t>（</w:t>
      </w:r>
      <w:r>
        <w:rPr>
          <w:rFonts w:hint="eastAsia" w:cs="Times New Roman" w:eastAsiaTheme="minorEastAsia"/>
          <w:sz w:val="28"/>
          <w:szCs w:val="28"/>
          <w:lang w:val="en-US" w:eastAsia="zh-CN"/>
        </w:rPr>
        <w:t>报批稿</w:t>
      </w:r>
      <w:r>
        <w:rPr>
          <w:rFonts w:hint="eastAsia" w:cs="Times New Roman" w:eastAsiaTheme="minorEastAsia"/>
          <w:sz w:val="28"/>
          <w:szCs w:val="28"/>
          <w:lang w:eastAsia="zh-CN"/>
        </w:rPr>
        <w:t>）</w:t>
      </w:r>
    </w:p>
    <w:p w14:paraId="7C6E33A4">
      <w:pPr>
        <w:pStyle w:val="9"/>
        <w:spacing w:line="360" w:lineRule="auto"/>
        <w:ind w:firstLine="0"/>
        <w:outlineLvl w:val="1"/>
        <w:rPr>
          <w:rFonts w:ascii="Times New Roman" w:hAnsi="Times New Roman" w:eastAsia="方正小标宋简体"/>
          <w:kern w:val="2"/>
          <w:sz w:val="36"/>
          <w:szCs w:val="36"/>
        </w:rPr>
      </w:pPr>
    </w:p>
    <w:p w14:paraId="064750BE">
      <w:pPr>
        <w:pStyle w:val="9"/>
        <w:spacing w:line="360" w:lineRule="auto"/>
        <w:ind w:firstLine="0"/>
        <w:outlineLvl w:val="1"/>
        <w:rPr>
          <w:rFonts w:ascii="Times New Roman" w:hAnsi="Times New Roman" w:eastAsia="黑体"/>
          <w:bCs/>
        </w:rPr>
      </w:pPr>
    </w:p>
    <w:p w14:paraId="78F12DCF">
      <w:pPr>
        <w:pStyle w:val="9"/>
        <w:spacing w:line="360" w:lineRule="auto"/>
        <w:ind w:firstLine="0"/>
        <w:outlineLvl w:val="1"/>
        <w:rPr>
          <w:rFonts w:ascii="Times New Roman" w:hAnsi="Times New Roman" w:eastAsia="黑体"/>
          <w:bCs/>
        </w:rPr>
      </w:pPr>
    </w:p>
    <w:p w14:paraId="57776585">
      <w:pPr>
        <w:pStyle w:val="9"/>
        <w:spacing w:line="360" w:lineRule="auto"/>
        <w:ind w:firstLine="0"/>
        <w:outlineLvl w:val="1"/>
        <w:rPr>
          <w:rFonts w:ascii="Times New Roman" w:hAnsi="Times New Roman" w:eastAsia="黑体"/>
          <w:bCs/>
        </w:rPr>
      </w:pPr>
    </w:p>
    <w:p w14:paraId="1CD77B57">
      <w:pPr>
        <w:pStyle w:val="9"/>
        <w:spacing w:line="360" w:lineRule="auto"/>
        <w:ind w:firstLine="0"/>
        <w:outlineLvl w:val="1"/>
        <w:rPr>
          <w:rFonts w:ascii="Times New Roman" w:hAnsi="Times New Roman" w:eastAsia="黑体"/>
          <w:bCs/>
        </w:rPr>
      </w:pPr>
    </w:p>
    <w:p w14:paraId="13B4A112">
      <w:pPr>
        <w:pStyle w:val="9"/>
        <w:spacing w:line="360" w:lineRule="auto"/>
        <w:ind w:firstLine="0"/>
        <w:outlineLvl w:val="1"/>
        <w:rPr>
          <w:rFonts w:ascii="Times New Roman" w:hAnsi="Times New Roman" w:eastAsia="黑体"/>
          <w:bCs/>
        </w:rPr>
      </w:pPr>
    </w:p>
    <w:p w14:paraId="2FC444ED">
      <w:pPr>
        <w:pStyle w:val="9"/>
        <w:spacing w:line="360" w:lineRule="auto"/>
        <w:ind w:firstLine="0"/>
        <w:outlineLvl w:val="1"/>
        <w:rPr>
          <w:rFonts w:ascii="Times New Roman" w:hAnsi="Times New Roman" w:eastAsia="黑体"/>
          <w:bCs/>
        </w:rPr>
      </w:pPr>
    </w:p>
    <w:p w14:paraId="4C342BB2">
      <w:pPr>
        <w:pStyle w:val="9"/>
        <w:spacing w:line="360" w:lineRule="auto"/>
        <w:ind w:firstLine="0"/>
        <w:outlineLvl w:val="1"/>
        <w:rPr>
          <w:rFonts w:ascii="Times New Roman" w:hAnsi="Times New Roman" w:eastAsia="黑体"/>
          <w:bCs/>
        </w:rPr>
      </w:pPr>
    </w:p>
    <w:p w14:paraId="1A7E7AF5">
      <w:pPr>
        <w:pStyle w:val="9"/>
        <w:spacing w:line="360" w:lineRule="auto"/>
        <w:ind w:firstLine="0"/>
        <w:outlineLvl w:val="1"/>
        <w:rPr>
          <w:rFonts w:ascii="Times New Roman" w:hAnsi="Times New Roman" w:eastAsia="黑体"/>
          <w:bCs/>
        </w:rPr>
      </w:pPr>
    </w:p>
    <w:p w14:paraId="013FC21A">
      <w:pPr>
        <w:ind w:left="210" w:leftChars="100"/>
        <w:rPr>
          <w:rFonts w:hint="eastAsia" w:eastAsia="方正小标宋简体"/>
          <w:b/>
          <w:sz w:val="36"/>
          <w:szCs w:val="36"/>
          <w:lang w:val="en-US" w:eastAsia="zh-CN"/>
        </w:rPr>
      </w:pPr>
      <w:r>
        <w:rPr>
          <w:rFonts w:hint="eastAsia" w:eastAsia="方正小标宋简体"/>
          <w:b/>
          <w:sz w:val="36"/>
          <w:szCs w:val="36"/>
        </w:rPr>
        <w:t xml:space="preserve">标 准 名 称： </w:t>
      </w:r>
      <w:r>
        <w:rPr>
          <w:rFonts w:hint="eastAsia" w:eastAsia="方正小标宋简体"/>
          <w:b/>
          <w:sz w:val="28"/>
          <w:szCs w:val="28"/>
          <w:u w:val="single"/>
          <w:lang w:val="en-US" w:eastAsia="zh-CN"/>
        </w:rPr>
        <w:t xml:space="preserve">      莴</w:t>
      </w:r>
      <w:r>
        <w:rPr>
          <w:rFonts w:hint="eastAsia" w:eastAsia="方正小标宋简体"/>
          <w:b/>
          <w:sz w:val="28"/>
          <w:szCs w:val="28"/>
          <w:u w:val="single"/>
        </w:rPr>
        <w:t xml:space="preserve">苣类蔬菜穴盘育苗技术规程 </w:t>
      </w:r>
      <w:r>
        <w:rPr>
          <w:rFonts w:hint="eastAsia" w:eastAsia="方正小标宋简体"/>
          <w:b/>
          <w:sz w:val="28"/>
          <w:szCs w:val="28"/>
          <w:u w:val="single"/>
          <w:lang w:val="en-US" w:eastAsia="zh-CN"/>
        </w:rPr>
        <w:t xml:space="preserve">   </w:t>
      </w:r>
      <w:bookmarkStart w:id="2" w:name="_GoBack"/>
      <w:bookmarkEnd w:id="2"/>
      <w:r>
        <w:rPr>
          <w:rFonts w:hint="eastAsia" w:eastAsia="方正小标宋简体"/>
          <w:b/>
          <w:sz w:val="28"/>
          <w:szCs w:val="28"/>
          <w:u w:val="single"/>
        </w:rPr>
        <w:t xml:space="preserve"> </w:t>
      </w:r>
      <w:r>
        <w:rPr>
          <w:rFonts w:hint="eastAsia" w:eastAsia="方正小标宋简体"/>
          <w:b/>
          <w:sz w:val="36"/>
          <w:szCs w:val="36"/>
          <w:u w:val="single"/>
        </w:rPr>
        <w:t xml:space="preserve"> </w:t>
      </w:r>
      <w:r>
        <w:rPr>
          <w:rFonts w:hint="eastAsia" w:eastAsia="方正小标宋简体"/>
          <w:b/>
          <w:sz w:val="36"/>
          <w:szCs w:val="36"/>
          <w:u w:val="single"/>
          <w:lang w:val="en-US" w:eastAsia="zh-CN"/>
        </w:rPr>
        <w:t xml:space="preserve"> </w:t>
      </w:r>
    </w:p>
    <w:p w14:paraId="060622A9">
      <w:pPr>
        <w:ind w:firstLine="181" w:firstLineChars="50"/>
        <w:rPr>
          <w:rFonts w:eastAsia="方正小标宋简体"/>
          <w:b/>
          <w:sz w:val="36"/>
          <w:szCs w:val="36"/>
        </w:rPr>
      </w:pPr>
      <w:r>
        <w:rPr>
          <w:rFonts w:hint="eastAsia" w:eastAsia="方正小标宋简体"/>
          <w:b/>
          <w:sz w:val="36"/>
          <w:szCs w:val="36"/>
        </w:rPr>
        <w:t xml:space="preserve">项 目 编 号： </w:t>
      </w:r>
      <w:r>
        <w:rPr>
          <w:rFonts w:hint="eastAsia" w:eastAsia="方正小标宋简体"/>
          <w:b/>
          <w:sz w:val="36"/>
          <w:szCs w:val="36"/>
          <w:u w:val="single"/>
        </w:rPr>
        <w:t xml:space="preserve">      </w:t>
      </w:r>
      <w:r>
        <w:rPr>
          <w:rFonts w:hint="eastAsia" w:eastAsia="方正小标宋简体"/>
          <w:b/>
          <w:sz w:val="28"/>
          <w:szCs w:val="28"/>
          <w:u w:val="single"/>
        </w:rPr>
        <w:t xml:space="preserve">   </w:t>
      </w:r>
      <w:r>
        <w:rPr>
          <w:rFonts w:hint="eastAsia" w:eastAsia="方正小标宋简体"/>
          <w:b/>
          <w:sz w:val="28"/>
          <w:szCs w:val="28"/>
          <w:u w:val="single"/>
          <w:lang w:val="en-US" w:eastAsia="zh-CN"/>
        </w:rPr>
        <w:t xml:space="preserve"> </w:t>
      </w:r>
      <w:r>
        <w:rPr>
          <w:rFonts w:eastAsia="方正小标宋简体"/>
          <w:b/>
          <w:sz w:val="28"/>
          <w:szCs w:val="28"/>
          <w:u w:val="single"/>
        </w:rPr>
        <w:t>QHNX6</w:t>
      </w:r>
      <w:r>
        <w:rPr>
          <w:rFonts w:hint="eastAsia" w:eastAsia="方正小标宋简体"/>
          <w:b/>
          <w:sz w:val="28"/>
          <w:szCs w:val="28"/>
          <w:u w:val="single"/>
          <w:lang w:val="en-US" w:eastAsia="zh-CN"/>
        </w:rPr>
        <w:t>3</w:t>
      </w:r>
      <w:r>
        <w:rPr>
          <w:rFonts w:eastAsia="方正小标宋简体"/>
          <w:b/>
          <w:sz w:val="28"/>
          <w:szCs w:val="28"/>
          <w:u w:val="single"/>
        </w:rPr>
        <w:t>-2024</w:t>
      </w:r>
      <w:r>
        <w:rPr>
          <w:rFonts w:hint="eastAsia" w:eastAsia="方正小标宋简体"/>
          <w:b/>
          <w:sz w:val="28"/>
          <w:szCs w:val="28"/>
          <w:u w:val="single"/>
        </w:rPr>
        <w:t xml:space="preserve"> </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rPr>
        <w:t xml:space="preserve">    </w:t>
      </w:r>
    </w:p>
    <w:p w14:paraId="346C5E40">
      <w:pPr>
        <w:ind w:firstLine="181" w:firstLineChars="50"/>
        <w:rPr>
          <w:rFonts w:eastAsia="方正小标宋简体"/>
          <w:b/>
          <w:sz w:val="36"/>
          <w:szCs w:val="36"/>
        </w:rPr>
      </w:pPr>
      <w:r>
        <w:rPr>
          <w:rFonts w:hint="eastAsia" w:eastAsia="方正小标宋简体"/>
          <w:b/>
          <w:sz w:val="36"/>
          <w:szCs w:val="36"/>
        </w:rPr>
        <w:t>制、修订类型：</w:t>
      </w:r>
      <w:r>
        <w:rPr>
          <w:rFonts w:hint="eastAsia" w:eastAsia="方正小标宋简体"/>
          <w:b/>
          <w:sz w:val="36"/>
          <w:szCs w:val="36"/>
          <w:u w:val="single"/>
        </w:rPr>
        <w:t xml:space="preserve">      </w:t>
      </w:r>
      <w:r>
        <w:rPr>
          <w:rFonts w:hint="eastAsia" w:eastAsia="方正小标宋简体"/>
          <w:b/>
          <w:sz w:val="28"/>
          <w:szCs w:val="28"/>
          <w:u w:val="single"/>
        </w:rPr>
        <w:t xml:space="preserve">      </w:t>
      </w:r>
      <w:r>
        <w:rPr>
          <w:rFonts w:eastAsia="方正小标宋简体"/>
          <w:b/>
          <w:sz w:val="28"/>
          <w:szCs w:val="28"/>
          <w:u w:val="single"/>
        </w:rPr>
        <w:t xml:space="preserve">   </w:t>
      </w:r>
      <w:r>
        <w:rPr>
          <w:rFonts w:hint="eastAsia" w:eastAsia="方正小标宋简体"/>
          <w:b/>
          <w:sz w:val="28"/>
          <w:szCs w:val="28"/>
          <w:u w:val="single"/>
        </w:rPr>
        <w:t xml:space="preserve">制定  </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rPr>
        <w:t xml:space="preserve"> </w:t>
      </w:r>
    </w:p>
    <w:p w14:paraId="3C688CB5">
      <w:pPr>
        <w:ind w:left="2875" w:leftChars="87" w:hanging="2692" w:hangingChars="745"/>
        <w:rPr>
          <w:rFonts w:eastAsia="方正小标宋简体"/>
          <w:b/>
          <w:sz w:val="36"/>
          <w:szCs w:val="36"/>
        </w:rPr>
      </w:pPr>
      <w:r>
        <w:rPr>
          <w:rFonts w:hint="eastAsia" w:eastAsia="方正小标宋简体"/>
          <w:b/>
          <w:sz w:val="36"/>
          <w:szCs w:val="36"/>
        </w:rPr>
        <w:t>主要起草单位：</w:t>
      </w:r>
      <w:r>
        <w:rPr>
          <w:rFonts w:hint="eastAsia" w:eastAsia="方正小标宋简体"/>
          <w:b/>
          <w:sz w:val="36"/>
          <w:szCs w:val="36"/>
          <w:u w:val="single"/>
        </w:rPr>
        <w:t xml:space="preserve"> </w:t>
      </w:r>
      <w:r>
        <w:rPr>
          <w:rFonts w:hint="eastAsia" w:eastAsia="方正小标宋简体"/>
          <w:b/>
          <w:sz w:val="28"/>
          <w:szCs w:val="28"/>
          <w:u w:val="single"/>
        </w:rPr>
        <w:t xml:space="preserve"> </w:t>
      </w:r>
      <w:r>
        <w:rPr>
          <w:rFonts w:eastAsia="方正小标宋简体"/>
          <w:b/>
          <w:sz w:val="28"/>
          <w:szCs w:val="28"/>
          <w:u w:val="single"/>
        </w:rPr>
        <w:t xml:space="preserve">     </w:t>
      </w:r>
      <w:r>
        <w:rPr>
          <w:rFonts w:hint="eastAsia" w:eastAsia="方正小标宋简体"/>
          <w:b/>
          <w:sz w:val="28"/>
          <w:szCs w:val="28"/>
          <w:u w:val="single"/>
          <w:lang w:val="en-US" w:eastAsia="zh-CN"/>
        </w:rPr>
        <w:t xml:space="preserve">  </w:t>
      </w:r>
      <w:r>
        <w:rPr>
          <w:rFonts w:hint="eastAsia" w:eastAsia="方正小标宋简体"/>
          <w:b/>
          <w:sz w:val="28"/>
          <w:szCs w:val="28"/>
          <w:u w:val="single"/>
        </w:rPr>
        <w:t>青海</w:t>
      </w:r>
      <w:r>
        <w:rPr>
          <w:rFonts w:hint="eastAsia" w:eastAsia="方正小标宋简体"/>
          <w:b/>
          <w:sz w:val="28"/>
          <w:szCs w:val="28"/>
          <w:u w:val="single"/>
          <w:lang w:val="en-US" w:eastAsia="zh-CN"/>
        </w:rPr>
        <w:t>大学农林科学院</w:t>
      </w:r>
      <w:r>
        <w:rPr>
          <w:rFonts w:hint="eastAsia" w:eastAsia="方正小标宋简体"/>
          <w:b/>
          <w:sz w:val="28"/>
          <w:szCs w:val="28"/>
          <w:u w:val="single"/>
        </w:rPr>
        <w:t xml:space="preserve">  </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rPr>
        <w:t xml:space="preserve">    </w:t>
      </w:r>
    </w:p>
    <w:p w14:paraId="11EAD2F0">
      <w:pPr>
        <w:ind w:firstLine="181" w:firstLineChars="50"/>
        <w:rPr>
          <w:rFonts w:eastAsia="方正小标宋简体"/>
          <w:b/>
          <w:sz w:val="36"/>
          <w:szCs w:val="36"/>
          <w:u w:val="single"/>
        </w:rPr>
      </w:pPr>
      <w:r>
        <w:rPr>
          <w:rFonts w:hint="eastAsia" w:eastAsia="方正小标宋简体"/>
          <w:b/>
          <w:sz w:val="36"/>
          <w:szCs w:val="36"/>
        </w:rPr>
        <w:t xml:space="preserve">归 口 单 位： </w:t>
      </w:r>
      <w:r>
        <w:rPr>
          <w:rFonts w:hint="eastAsia" w:eastAsia="方正小标宋简体"/>
          <w:b/>
          <w:sz w:val="36"/>
          <w:szCs w:val="36"/>
          <w:u w:val="single"/>
        </w:rPr>
        <w:t xml:space="preserve">     </w:t>
      </w:r>
      <w:r>
        <w:rPr>
          <w:rFonts w:hint="eastAsia" w:eastAsia="方正小标宋简体"/>
          <w:b/>
          <w:sz w:val="28"/>
          <w:szCs w:val="28"/>
          <w:u w:val="single"/>
        </w:rPr>
        <w:t xml:space="preserve"> </w:t>
      </w:r>
      <w:r>
        <w:rPr>
          <w:rFonts w:eastAsia="方正小标宋简体"/>
          <w:b/>
          <w:sz w:val="28"/>
          <w:szCs w:val="28"/>
          <w:u w:val="single"/>
        </w:rPr>
        <w:t xml:space="preserve">  </w:t>
      </w:r>
      <w:r>
        <w:rPr>
          <w:rFonts w:hint="eastAsia" w:eastAsia="方正小标宋简体"/>
          <w:b/>
          <w:sz w:val="28"/>
          <w:szCs w:val="28"/>
          <w:u w:val="single"/>
          <w:lang w:val="en-US" w:eastAsia="zh-CN"/>
        </w:rPr>
        <w:t xml:space="preserve">  </w:t>
      </w:r>
      <w:r>
        <w:rPr>
          <w:rFonts w:hint="eastAsia" w:eastAsia="方正小标宋简体"/>
          <w:b/>
          <w:sz w:val="28"/>
          <w:szCs w:val="28"/>
          <w:u w:val="single"/>
        </w:rPr>
        <w:t xml:space="preserve">青海省农学会 </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lang w:val="en-US" w:eastAsia="zh-CN"/>
        </w:rPr>
        <w:t xml:space="preserve">   </w:t>
      </w:r>
      <w:r>
        <w:rPr>
          <w:rFonts w:hint="eastAsia" w:eastAsia="方正小标宋简体"/>
          <w:b/>
          <w:sz w:val="36"/>
          <w:szCs w:val="36"/>
          <w:u w:val="single"/>
        </w:rPr>
        <w:t xml:space="preserve">  </w:t>
      </w:r>
    </w:p>
    <w:p w14:paraId="78AAEE71">
      <w:pPr>
        <w:ind w:firstLine="181" w:firstLineChars="50"/>
        <w:rPr>
          <w:rFonts w:eastAsia="黑体"/>
          <w:bCs/>
          <w:sz w:val="32"/>
          <w:szCs w:val="32"/>
          <w:u w:val="single"/>
        </w:rPr>
      </w:pPr>
      <w:r>
        <w:rPr>
          <w:rFonts w:hint="eastAsia" w:eastAsia="方正小标宋简体"/>
          <w:b/>
          <w:sz w:val="36"/>
          <w:szCs w:val="36"/>
        </w:rPr>
        <w:t xml:space="preserve">起 草 时 间： </w:t>
      </w:r>
      <w:r>
        <w:rPr>
          <w:rFonts w:hint="eastAsia" w:eastAsia="方正小标宋简体"/>
          <w:b/>
          <w:sz w:val="36"/>
          <w:szCs w:val="36"/>
          <w:u w:val="single"/>
        </w:rPr>
        <w:t xml:space="preserve">    </w:t>
      </w:r>
      <w:r>
        <w:rPr>
          <w:rFonts w:hint="eastAsia" w:eastAsia="方正小标宋简体"/>
          <w:b/>
          <w:sz w:val="28"/>
          <w:szCs w:val="28"/>
          <w:u w:val="single"/>
        </w:rPr>
        <w:t xml:space="preserve"> 20</w:t>
      </w:r>
      <w:r>
        <w:rPr>
          <w:rFonts w:eastAsia="方正小标宋简体"/>
          <w:b/>
          <w:sz w:val="28"/>
          <w:szCs w:val="28"/>
          <w:u w:val="single"/>
        </w:rPr>
        <w:t>24</w:t>
      </w:r>
      <w:r>
        <w:rPr>
          <w:rFonts w:hint="eastAsia" w:eastAsia="方正小标宋简体"/>
          <w:b/>
          <w:sz w:val="28"/>
          <w:szCs w:val="28"/>
          <w:u w:val="single"/>
        </w:rPr>
        <w:t>年</w:t>
      </w:r>
      <w:r>
        <w:rPr>
          <w:rFonts w:eastAsia="方正小标宋简体"/>
          <w:b/>
          <w:sz w:val="28"/>
          <w:szCs w:val="28"/>
          <w:u w:val="single"/>
        </w:rPr>
        <w:t>9</w:t>
      </w:r>
      <w:r>
        <w:rPr>
          <w:rFonts w:hint="eastAsia" w:eastAsia="方正小标宋简体"/>
          <w:b/>
          <w:sz w:val="28"/>
          <w:szCs w:val="28"/>
          <w:u w:val="single"/>
        </w:rPr>
        <w:t>月---202</w:t>
      </w:r>
      <w:r>
        <w:rPr>
          <w:rFonts w:eastAsia="方正小标宋简体"/>
          <w:b/>
          <w:sz w:val="28"/>
          <w:szCs w:val="28"/>
          <w:u w:val="single"/>
        </w:rPr>
        <w:t>5</w:t>
      </w:r>
      <w:r>
        <w:rPr>
          <w:rFonts w:hint="eastAsia" w:eastAsia="方正小标宋简体"/>
          <w:b/>
          <w:sz w:val="28"/>
          <w:szCs w:val="28"/>
          <w:u w:val="single"/>
        </w:rPr>
        <w:t>年</w:t>
      </w:r>
      <w:r>
        <w:rPr>
          <w:rFonts w:hint="eastAsia" w:eastAsia="方正小标宋简体"/>
          <w:b/>
          <w:sz w:val="28"/>
          <w:szCs w:val="28"/>
          <w:u w:val="single"/>
          <w:lang w:val="en-US" w:eastAsia="zh-CN"/>
        </w:rPr>
        <w:t>12</w:t>
      </w:r>
      <w:r>
        <w:rPr>
          <w:rFonts w:hint="eastAsia" w:eastAsia="方正小标宋简体"/>
          <w:b/>
          <w:sz w:val="28"/>
          <w:szCs w:val="28"/>
          <w:u w:val="single"/>
        </w:rPr>
        <w:t>月</w:t>
      </w:r>
      <w:r>
        <w:rPr>
          <w:rFonts w:hint="eastAsia" w:eastAsia="方正小标宋简体"/>
          <w:b/>
          <w:sz w:val="36"/>
          <w:szCs w:val="36"/>
          <w:u w:val="single"/>
        </w:rPr>
        <w:t xml:space="preserve">  </w:t>
      </w:r>
      <w:r>
        <w:rPr>
          <w:rFonts w:eastAsia="方正小标宋简体"/>
          <w:b/>
          <w:sz w:val="36"/>
          <w:szCs w:val="36"/>
          <w:u w:val="single"/>
        </w:rPr>
        <w:t xml:space="preserve">   </w:t>
      </w:r>
      <w:r>
        <w:rPr>
          <w:rFonts w:hint="eastAsia" w:eastAsia="方正小标宋简体"/>
          <w:b/>
          <w:sz w:val="36"/>
          <w:szCs w:val="36"/>
          <w:u w:val="single"/>
        </w:rPr>
        <w:t xml:space="preserve">   </w:t>
      </w:r>
    </w:p>
    <w:p w14:paraId="508A5A2A">
      <w:pPr>
        <w:tabs>
          <w:tab w:val="left" w:pos="360"/>
          <w:tab w:val="left" w:pos="540"/>
        </w:tabs>
        <w:spacing w:line="0" w:lineRule="atLeast"/>
        <w:jc w:val="center"/>
        <w:rPr>
          <w:rFonts w:eastAsia="方正小标宋简体"/>
          <w:sz w:val="36"/>
          <w:szCs w:val="36"/>
        </w:rPr>
      </w:pPr>
    </w:p>
    <w:p w14:paraId="66B1D380">
      <w:pPr>
        <w:tabs>
          <w:tab w:val="left" w:pos="360"/>
          <w:tab w:val="left" w:pos="540"/>
        </w:tabs>
        <w:spacing w:line="0" w:lineRule="atLeast"/>
        <w:jc w:val="center"/>
        <w:rPr>
          <w:rFonts w:eastAsia="方正小标宋简体"/>
          <w:sz w:val="36"/>
          <w:szCs w:val="36"/>
        </w:rPr>
      </w:pPr>
    </w:p>
    <w:p w14:paraId="0EB709C1">
      <w:pPr>
        <w:widowControl/>
        <w:jc w:val="left"/>
        <w:rPr>
          <w:rFonts w:eastAsia="方正小标宋简体"/>
          <w:sz w:val="36"/>
          <w:szCs w:val="36"/>
        </w:rPr>
      </w:pPr>
      <w:r>
        <w:rPr>
          <w:rFonts w:eastAsia="方正小标宋简体"/>
          <w:sz w:val="36"/>
          <w:szCs w:val="36"/>
        </w:rPr>
        <w:br w:type="page"/>
      </w:r>
    </w:p>
    <w:p w14:paraId="1EFDED5C">
      <w:pPr>
        <w:tabs>
          <w:tab w:val="left" w:pos="360"/>
          <w:tab w:val="left" w:pos="540"/>
        </w:tabs>
        <w:spacing w:line="0" w:lineRule="atLeast"/>
        <w:ind w:right="-197" w:rightChars="-94"/>
        <w:jc w:val="center"/>
        <w:rPr>
          <w:rFonts w:eastAsia="方正小标宋简体"/>
          <w:sz w:val="36"/>
          <w:szCs w:val="36"/>
        </w:rPr>
      </w:pPr>
      <w:r>
        <w:rPr>
          <w:rFonts w:hint="eastAsia" w:eastAsia="方正小标宋简体"/>
          <w:sz w:val="36"/>
          <w:szCs w:val="36"/>
        </w:rPr>
        <w:t>《莴苣类蔬菜穴盘育苗技术规程》</w:t>
      </w:r>
    </w:p>
    <w:p w14:paraId="0E879766">
      <w:pPr>
        <w:spacing w:line="0" w:lineRule="atLeast"/>
        <w:jc w:val="center"/>
        <w:rPr>
          <w:rFonts w:eastAsia="方正小标宋简体"/>
          <w:sz w:val="36"/>
          <w:szCs w:val="36"/>
        </w:rPr>
      </w:pPr>
      <w:r>
        <w:rPr>
          <w:rFonts w:hint="eastAsia" w:eastAsia="方正小标宋简体"/>
          <w:sz w:val="36"/>
          <w:szCs w:val="36"/>
        </w:rPr>
        <w:t>团体标准编制说明</w:t>
      </w:r>
    </w:p>
    <w:p w14:paraId="02C7E7A5">
      <w:pPr>
        <w:widowControl/>
        <w:autoSpaceDE w:val="0"/>
        <w:autoSpaceDN w:val="0"/>
        <w:spacing w:before="156" w:beforeLines="50" w:after="156" w:afterLines="50"/>
        <w:rPr>
          <w:rFonts w:eastAsia="黑体"/>
          <w:b/>
          <w:sz w:val="32"/>
          <w:szCs w:val="32"/>
        </w:rPr>
      </w:pPr>
      <w:r>
        <w:rPr>
          <w:rFonts w:hint="eastAsia" w:eastAsia="黑体"/>
          <w:b/>
          <w:sz w:val="32"/>
          <w:szCs w:val="32"/>
        </w:rPr>
        <w:t>一、工作简况</w:t>
      </w:r>
    </w:p>
    <w:p w14:paraId="4A0E5246">
      <w:pPr>
        <w:ind w:firstLine="640" w:firstLineChars="200"/>
        <w:rPr>
          <w:rFonts w:eastAsia="楷体_GB2312"/>
          <w:sz w:val="32"/>
          <w:szCs w:val="32"/>
        </w:rPr>
      </w:pPr>
      <w:r>
        <w:rPr>
          <w:rFonts w:hint="eastAsia" w:eastAsia="楷体_GB2312"/>
          <w:sz w:val="32"/>
          <w:szCs w:val="32"/>
        </w:rPr>
        <w:t>（一）任务来源</w:t>
      </w:r>
    </w:p>
    <w:p w14:paraId="22771D27">
      <w:pPr>
        <w:spacing w:line="580" w:lineRule="exact"/>
        <w:ind w:firstLine="640" w:firstLineChars="200"/>
        <w:rPr>
          <w:rFonts w:eastAsia="仿宋_GB2312"/>
          <w:kern w:val="0"/>
          <w:sz w:val="32"/>
          <w:szCs w:val="32"/>
        </w:rPr>
      </w:pPr>
      <w:r>
        <w:rPr>
          <w:rFonts w:hint="eastAsia" w:eastAsia="仿宋_GB2312"/>
          <w:kern w:val="0"/>
          <w:sz w:val="32"/>
          <w:szCs w:val="32"/>
        </w:rPr>
        <w:t>根据青海</w:t>
      </w:r>
      <w:r>
        <w:rPr>
          <w:rFonts w:hint="eastAsia" w:eastAsia="仿宋_GB2312"/>
          <w:kern w:val="0"/>
          <w:sz w:val="32"/>
          <w:szCs w:val="32"/>
          <w:lang w:val="en-US" w:eastAsia="zh-CN"/>
        </w:rPr>
        <w:t>大学</w:t>
      </w:r>
      <w:r>
        <w:rPr>
          <w:rFonts w:hint="eastAsia" w:eastAsia="仿宋_GB2312"/>
          <w:kern w:val="0"/>
          <w:sz w:val="32"/>
          <w:szCs w:val="32"/>
        </w:rPr>
        <w:t>农林科学院园艺</w:t>
      </w:r>
      <w:r>
        <w:rPr>
          <w:rFonts w:hint="eastAsia" w:eastAsia="仿宋_GB2312"/>
          <w:kern w:val="0"/>
          <w:sz w:val="32"/>
          <w:szCs w:val="32"/>
          <w:lang w:val="en-US" w:eastAsia="zh-CN"/>
        </w:rPr>
        <w:t>研究</w:t>
      </w:r>
      <w:r>
        <w:rPr>
          <w:rFonts w:hint="eastAsia" w:eastAsia="仿宋_GB2312"/>
          <w:kern w:val="0"/>
          <w:sz w:val="32"/>
          <w:szCs w:val="32"/>
        </w:rPr>
        <w:t>所的工作任务要求，申请制定《莴苣类蔬菜穴盘育苗技术规程》团体标准，按照青海省农学会文件《关于下达202</w:t>
      </w:r>
      <w:r>
        <w:rPr>
          <w:rFonts w:eastAsia="仿宋_GB2312"/>
          <w:kern w:val="0"/>
          <w:sz w:val="32"/>
          <w:szCs w:val="32"/>
        </w:rPr>
        <w:t>4</w:t>
      </w:r>
      <w:r>
        <w:rPr>
          <w:rFonts w:hint="eastAsia" w:eastAsia="仿宋_GB2312"/>
          <w:kern w:val="0"/>
          <w:sz w:val="32"/>
          <w:szCs w:val="32"/>
        </w:rPr>
        <w:t>年团体标准项目计划的通知》【青农</w:t>
      </w:r>
      <w:r>
        <w:rPr>
          <w:rFonts w:eastAsia="仿宋_GB2312"/>
          <w:kern w:val="0"/>
          <w:sz w:val="32"/>
          <w:szCs w:val="32"/>
        </w:rPr>
        <w:t>字</w:t>
      </w:r>
      <w:r>
        <w:rPr>
          <w:rFonts w:hint="eastAsia" w:eastAsia="仿宋_GB2312"/>
          <w:kern w:val="0"/>
          <w:sz w:val="32"/>
          <w:szCs w:val="32"/>
        </w:rPr>
        <w:t>[20</w:t>
      </w:r>
      <w:r>
        <w:rPr>
          <w:rFonts w:eastAsia="仿宋_GB2312"/>
          <w:kern w:val="0"/>
          <w:sz w:val="32"/>
          <w:szCs w:val="32"/>
        </w:rPr>
        <w:t>24</w:t>
      </w:r>
      <w:r>
        <w:rPr>
          <w:rFonts w:hint="eastAsia" w:eastAsia="仿宋_GB2312"/>
          <w:kern w:val="0"/>
          <w:sz w:val="32"/>
          <w:szCs w:val="32"/>
        </w:rPr>
        <w:t>]</w:t>
      </w:r>
      <w:r>
        <w:rPr>
          <w:rFonts w:eastAsia="仿宋_GB2312"/>
          <w:kern w:val="0"/>
          <w:sz w:val="32"/>
          <w:szCs w:val="32"/>
        </w:rPr>
        <w:t>4</w:t>
      </w:r>
      <w:r>
        <w:rPr>
          <w:rFonts w:hint="eastAsia" w:eastAsia="仿宋_GB2312"/>
          <w:kern w:val="0"/>
          <w:sz w:val="32"/>
          <w:szCs w:val="32"/>
        </w:rPr>
        <w:t>号】的要求，进行该标准的研制。</w:t>
      </w:r>
    </w:p>
    <w:p w14:paraId="4EA623DB">
      <w:pPr>
        <w:ind w:firstLine="627" w:firstLineChars="196"/>
        <w:rPr>
          <w:rFonts w:eastAsia="楷体_GB2312"/>
          <w:sz w:val="32"/>
          <w:szCs w:val="32"/>
        </w:rPr>
      </w:pPr>
      <w:r>
        <w:rPr>
          <w:rFonts w:hint="eastAsia" w:eastAsia="楷体_GB2312"/>
          <w:sz w:val="32"/>
          <w:szCs w:val="32"/>
          <w:lang w:eastAsia="zh-CN"/>
        </w:rPr>
        <w:t>（</w:t>
      </w:r>
      <w:r>
        <w:rPr>
          <w:rFonts w:hint="eastAsia" w:eastAsia="楷体_GB2312"/>
          <w:sz w:val="32"/>
          <w:szCs w:val="32"/>
        </w:rPr>
        <w:t>二</w:t>
      </w:r>
      <w:r>
        <w:rPr>
          <w:rFonts w:hint="eastAsia" w:eastAsia="楷体_GB2312"/>
          <w:sz w:val="32"/>
          <w:szCs w:val="32"/>
          <w:lang w:eastAsia="zh-CN"/>
        </w:rPr>
        <w:t>）</w:t>
      </w:r>
      <w:r>
        <w:rPr>
          <w:rFonts w:hint="eastAsia" w:eastAsia="楷体_GB2312"/>
          <w:sz w:val="32"/>
          <w:szCs w:val="32"/>
        </w:rPr>
        <w:t>起草单位</w:t>
      </w:r>
    </w:p>
    <w:p w14:paraId="56BA555C">
      <w:pPr>
        <w:widowControl/>
        <w:autoSpaceDE w:val="0"/>
        <w:autoSpaceDN w:val="0"/>
        <w:ind w:firstLine="640" w:firstLineChars="200"/>
        <w:rPr>
          <w:rFonts w:hint="default" w:eastAsia="仿宋_GB2312" w:cs="宋体"/>
          <w:color w:val="000000"/>
          <w:kern w:val="0"/>
          <w:sz w:val="32"/>
          <w:szCs w:val="32"/>
          <w:lang w:val="en-US" w:eastAsia="zh-CN"/>
        </w:rPr>
      </w:pPr>
      <w:r>
        <w:rPr>
          <w:rFonts w:hint="eastAsia" w:eastAsia="仿宋_GB2312" w:cs="宋体"/>
          <w:color w:val="000000"/>
          <w:kern w:val="0"/>
          <w:sz w:val="32"/>
          <w:szCs w:val="32"/>
        </w:rPr>
        <w:t>青海</w:t>
      </w:r>
      <w:r>
        <w:rPr>
          <w:rFonts w:hint="eastAsia" w:eastAsia="仿宋_GB2312" w:cs="宋体"/>
          <w:color w:val="000000"/>
          <w:kern w:val="0"/>
          <w:sz w:val="32"/>
          <w:szCs w:val="32"/>
          <w:lang w:val="en-US" w:eastAsia="zh-CN"/>
        </w:rPr>
        <w:t>大学农林科学院、青海昆仑种业集团有限公司、青海出彩农业开发有限公司。</w:t>
      </w:r>
    </w:p>
    <w:p w14:paraId="45698B3B">
      <w:pPr>
        <w:widowControl/>
        <w:autoSpaceDE w:val="0"/>
        <w:autoSpaceDN w:val="0"/>
        <w:ind w:firstLine="480" w:firstLineChars="150"/>
        <w:rPr>
          <w:rFonts w:eastAsia="楷体_GB2312" w:cs="宋体"/>
          <w:color w:val="000000"/>
          <w:kern w:val="0"/>
          <w:sz w:val="32"/>
          <w:szCs w:val="32"/>
        </w:rPr>
      </w:pPr>
      <w:r>
        <w:rPr>
          <w:rFonts w:hint="eastAsia" w:eastAsia="楷体_GB2312" w:cs="宋体"/>
          <w:color w:val="000000"/>
          <w:kern w:val="0"/>
          <w:sz w:val="32"/>
          <w:szCs w:val="32"/>
        </w:rPr>
        <w:t>（三）主要起草人</w:t>
      </w:r>
    </w:p>
    <w:tbl>
      <w:tblPr>
        <w:tblStyle w:val="3"/>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849"/>
        <w:gridCol w:w="1729"/>
        <w:gridCol w:w="3178"/>
        <w:gridCol w:w="1662"/>
      </w:tblGrid>
      <w:tr w14:paraId="068E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5" w:type="dxa"/>
            <w:vAlign w:val="center"/>
          </w:tcPr>
          <w:p w14:paraId="7D0F23FB">
            <w:pPr>
              <w:spacing w:line="480" w:lineRule="exact"/>
              <w:jc w:val="center"/>
              <w:rPr>
                <w:rFonts w:eastAsia="仿宋_GB2312" w:cs="宋体"/>
                <w:b/>
                <w:color w:val="000000"/>
                <w:kern w:val="0"/>
                <w:sz w:val="28"/>
                <w:szCs w:val="28"/>
              </w:rPr>
            </w:pPr>
            <w:r>
              <w:rPr>
                <w:rFonts w:hint="eastAsia" w:eastAsia="仿宋_GB2312" w:cs="宋体"/>
                <w:b/>
                <w:color w:val="000000"/>
                <w:kern w:val="0"/>
                <w:sz w:val="28"/>
                <w:szCs w:val="28"/>
              </w:rPr>
              <w:t>姓名</w:t>
            </w:r>
          </w:p>
        </w:tc>
        <w:tc>
          <w:tcPr>
            <w:tcW w:w="849" w:type="dxa"/>
            <w:vAlign w:val="center"/>
          </w:tcPr>
          <w:p w14:paraId="48E45450">
            <w:pPr>
              <w:spacing w:line="480" w:lineRule="exact"/>
              <w:jc w:val="center"/>
              <w:rPr>
                <w:rFonts w:eastAsia="仿宋_GB2312" w:cs="宋体"/>
                <w:b/>
                <w:color w:val="000000"/>
                <w:kern w:val="0"/>
                <w:sz w:val="28"/>
                <w:szCs w:val="28"/>
              </w:rPr>
            </w:pPr>
            <w:r>
              <w:rPr>
                <w:rFonts w:hint="eastAsia" w:eastAsia="仿宋_GB2312" w:cs="宋体"/>
                <w:b/>
                <w:color w:val="000000"/>
                <w:kern w:val="0"/>
                <w:sz w:val="28"/>
                <w:szCs w:val="28"/>
              </w:rPr>
              <w:t>性别</w:t>
            </w:r>
          </w:p>
        </w:tc>
        <w:tc>
          <w:tcPr>
            <w:tcW w:w="1729" w:type="dxa"/>
            <w:vAlign w:val="center"/>
          </w:tcPr>
          <w:p w14:paraId="7A834BEA">
            <w:pPr>
              <w:spacing w:line="480" w:lineRule="exact"/>
              <w:jc w:val="center"/>
              <w:rPr>
                <w:rFonts w:eastAsia="仿宋_GB2312" w:cs="宋体"/>
                <w:b/>
                <w:color w:val="000000"/>
                <w:kern w:val="0"/>
                <w:sz w:val="28"/>
                <w:szCs w:val="28"/>
              </w:rPr>
            </w:pPr>
            <w:r>
              <w:rPr>
                <w:rFonts w:hint="eastAsia" w:eastAsia="仿宋_GB2312" w:cs="宋体"/>
                <w:b/>
                <w:color w:val="000000"/>
                <w:kern w:val="0"/>
                <w:sz w:val="28"/>
                <w:szCs w:val="28"/>
              </w:rPr>
              <w:t>职务/职称</w:t>
            </w:r>
          </w:p>
        </w:tc>
        <w:tc>
          <w:tcPr>
            <w:tcW w:w="3178" w:type="dxa"/>
            <w:vAlign w:val="center"/>
          </w:tcPr>
          <w:p w14:paraId="1A043B75">
            <w:pPr>
              <w:spacing w:line="480" w:lineRule="exact"/>
              <w:jc w:val="center"/>
              <w:rPr>
                <w:rFonts w:eastAsia="仿宋_GB2312" w:cs="宋体"/>
                <w:b/>
                <w:color w:val="000000"/>
                <w:kern w:val="0"/>
                <w:sz w:val="28"/>
                <w:szCs w:val="28"/>
              </w:rPr>
            </w:pPr>
            <w:r>
              <w:rPr>
                <w:rFonts w:hint="eastAsia" w:eastAsia="仿宋_GB2312" w:cs="宋体"/>
                <w:b/>
                <w:color w:val="000000"/>
                <w:kern w:val="0"/>
                <w:sz w:val="28"/>
                <w:szCs w:val="28"/>
              </w:rPr>
              <w:t>工作单位</w:t>
            </w:r>
          </w:p>
        </w:tc>
        <w:tc>
          <w:tcPr>
            <w:tcW w:w="1662" w:type="dxa"/>
            <w:vAlign w:val="center"/>
          </w:tcPr>
          <w:p w14:paraId="2F69BD43">
            <w:pPr>
              <w:spacing w:line="480" w:lineRule="exact"/>
              <w:jc w:val="center"/>
              <w:rPr>
                <w:rFonts w:eastAsia="仿宋_GB2312" w:cs="宋体"/>
                <w:b/>
                <w:color w:val="000000"/>
                <w:kern w:val="0"/>
                <w:sz w:val="28"/>
                <w:szCs w:val="28"/>
              </w:rPr>
            </w:pPr>
            <w:r>
              <w:rPr>
                <w:rFonts w:hint="eastAsia" w:eastAsia="仿宋_GB2312" w:cs="宋体"/>
                <w:b/>
                <w:color w:val="000000"/>
                <w:kern w:val="0"/>
                <w:sz w:val="28"/>
                <w:szCs w:val="28"/>
              </w:rPr>
              <w:t>任务分工</w:t>
            </w:r>
          </w:p>
        </w:tc>
      </w:tr>
      <w:tr w14:paraId="14CF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26690846">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孙雪梅</w:t>
            </w:r>
          </w:p>
        </w:tc>
        <w:tc>
          <w:tcPr>
            <w:tcW w:w="849" w:type="dxa"/>
            <w:vAlign w:val="center"/>
          </w:tcPr>
          <w:p w14:paraId="266F1BFB">
            <w:pPr>
              <w:spacing w:line="480" w:lineRule="exact"/>
              <w:jc w:val="center"/>
              <w:rPr>
                <w:rFonts w:eastAsia="仿宋_GB2312" w:cs="宋体"/>
                <w:color w:val="000000"/>
                <w:kern w:val="0"/>
                <w:sz w:val="24"/>
              </w:rPr>
            </w:pPr>
            <w:r>
              <w:rPr>
                <w:rFonts w:hint="eastAsia" w:eastAsia="仿宋_GB2312" w:cs="宋体"/>
                <w:color w:val="000000"/>
                <w:kern w:val="0"/>
                <w:sz w:val="24"/>
              </w:rPr>
              <w:t>女</w:t>
            </w:r>
          </w:p>
        </w:tc>
        <w:tc>
          <w:tcPr>
            <w:tcW w:w="1729" w:type="dxa"/>
            <w:vAlign w:val="center"/>
          </w:tcPr>
          <w:p w14:paraId="0F9128A7">
            <w:pPr>
              <w:spacing w:line="480" w:lineRule="exact"/>
              <w:jc w:val="center"/>
              <w:rPr>
                <w:rFonts w:eastAsia="仿宋_GB2312" w:cs="宋体"/>
                <w:color w:val="000000"/>
                <w:kern w:val="0"/>
                <w:sz w:val="24"/>
              </w:rPr>
            </w:pPr>
            <w:r>
              <w:rPr>
                <w:rFonts w:hint="eastAsia" w:eastAsia="仿宋_GB2312" w:cs="宋体"/>
                <w:color w:val="000000"/>
                <w:kern w:val="0"/>
                <w:sz w:val="24"/>
              </w:rPr>
              <w:t>研究员</w:t>
            </w:r>
          </w:p>
        </w:tc>
        <w:tc>
          <w:tcPr>
            <w:tcW w:w="3178" w:type="dxa"/>
            <w:vAlign w:val="center"/>
          </w:tcPr>
          <w:p w14:paraId="4ED1588C">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503ED072">
            <w:pPr>
              <w:spacing w:line="480" w:lineRule="exact"/>
              <w:jc w:val="center"/>
              <w:rPr>
                <w:rFonts w:eastAsia="仿宋_GB2312" w:cs="宋体"/>
                <w:color w:val="000000"/>
                <w:kern w:val="0"/>
                <w:sz w:val="24"/>
              </w:rPr>
            </w:pPr>
            <w:r>
              <w:rPr>
                <w:rFonts w:hint="eastAsia" w:eastAsia="仿宋_GB2312" w:cs="宋体"/>
                <w:color w:val="000000"/>
                <w:kern w:val="0"/>
                <w:sz w:val="24"/>
              </w:rPr>
              <w:t>全面</w:t>
            </w:r>
            <w:r>
              <w:rPr>
                <w:rFonts w:eastAsia="仿宋_GB2312" w:cs="宋体"/>
                <w:color w:val="000000"/>
                <w:kern w:val="0"/>
                <w:sz w:val="24"/>
              </w:rPr>
              <w:t>负责</w:t>
            </w:r>
          </w:p>
        </w:tc>
      </w:tr>
      <w:tr w14:paraId="0470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76911AF2">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张海旺</w:t>
            </w:r>
          </w:p>
        </w:tc>
        <w:tc>
          <w:tcPr>
            <w:tcW w:w="849" w:type="dxa"/>
            <w:vAlign w:val="center"/>
          </w:tcPr>
          <w:p w14:paraId="37C3BD3C">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男</w:t>
            </w:r>
          </w:p>
        </w:tc>
        <w:tc>
          <w:tcPr>
            <w:tcW w:w="1729" w:type="dxa"/>
            <w:vAlign w:val="center"/>
          </w:tcPr>
          <w:p w14:paraId="6B3F826F">
            <w:pPr>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无</w:t>
            </w:r>
          </w:p>
        </w:tc>
        <w:tc>
          <w:tcPr>
            <w:tcW w:w="3178" w:type="dxa"/>
            <w:vAlign w:val="center"/>
          </w:tcPr>
          <w:p w14:paraId="7E7BBBC8">
            <w:pPr>
              <w:jc w:val="center"/>
              <w:rPr>
                <w:rFonts w:eastAsia="仿宋_GB2312" w:cs="宋体"/>
                <w:color w:val="000000"/>
                <w:kern w:val="0"/>
                <w:sz w:val="24"/>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6BDFD161">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试验布置</w:t>
            </w:r>
          </w:p>
        </w:tc>
      </w:tr>
      <w:tr w14:paraId="42F7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6571CD5A">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朱雪冰</w:t>
            </w:r>
          </w:p>
        </w:tc>
        <w:tc>
          <w:tcPr>
            <w:tcW w:w="849" w:type="dxa"/>
            <w:vAlign w:val="center"/>
          </w:tcPr>
          <w:p w14:paraId="59DFEFD4">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女</w:t>
            </w:r>
          </w:p>
        </w:tc>
        <w:tc>
          <w:tcPr>
            <w:tcW w:w="1729" w:type="dxa"/>
            <w:vAlign w:val="center"/>
          </w:tcPr>
          <w:p w14:paraId="7F0074B3">
            <w:pPr>
              <w:spacing w:line="480" w:lineRule="exact"/>
              <w:jc w:val="center"/>
              <w:rPr>
                <w:rFonts w:eastAsia="仿宋_GB2312" w:cs="宋体"/>
                <w:color w:val="000000"/>
                <w:kern w:val="0"/>
                <w:sz w:val="24"/>
              </w:rPr>
            </w:pPr>
            <w:r>
              <w:rPr>
                <w:rFonts w:hint="eastAsia" w:eastAsia="仿宋_GB2312" w:cs="宋体"/>
                <w:color w:val="000000"/>
                <w:kern w:val="0"/>
                <w:sz w:val="24"/>
                <w:lang w:val="en-US" w:eastAsia="zh-CN"/>
              </w:rPr>
              <w:t>无</w:t>
            </w:r>
          </w:p>
        </w:tc>
        <w:tc>
          <w:tcPr>
            <w:tcW w:w="3178" w:type="dxa"/>
            <w:vAlign w:val="center"/>
          </w:tcPr>
          <w:p w14:paraId="4F89EB51">
            <w:pPr>
              <w:jc w:val="center"/>
              <w:rPr>
                <w:sz w:val="24"/>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791558AA">
            <w:pPr>
              <w:spacing w:line="480" w:lineRule="exact"/>
              <w:jc w:val="center"/>
              <w:rPr>
                <w:rFonts w:hint="default" w:eastAsia="仿宋_GB2312" w:cs="宋体"/>
                <w:color w:val="000000"/>
                <w:kern w:val="0"/>
                <w:sz w:val="24"/>
                <w:lang w:val="en-US"/>
              </w:rPr>
            </w:pPr>
            <w:r>
              <w:rPr>
                <w:rFonts w:hint="eastAsia" w:eastAsia="仿宋_GB2312" w:cs="宋体"/>
                <w:color w:val="000000"/>
                <w:kern w:val="0"/>
                <w:sz w:val="24"/>
                <w:lang w:val="en-US" w:eastAsia="zh-CN"/>
              </w:rPr>
              <w:t>样品分析</w:t>
            </w:r>
          </w:p>
        </w:tc>
      </w:tr>
      <w:tr w14:paraId="65BD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2A4057AA">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魏晓强</w:t>
            </w:r>
          </w:p>
        </w:tc>
        <w:tc>
          <w:tcPr>
            <w:tcW w:w="849" w:type="dxa"/>
            <w:vAlign w:val="center"/>
          </w:tcPr>
          <w:p w14:paraId="016FDEF1">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男</w:t>
            </w:r>
          </w:p>
        </w:tc>
        <w:tc>
          <w:tcPr>
            <w:tcW w:w="1729" w:type="dxa"/>
            <w:vAlign w:val="center"/>
          </w:tcPr>
          <w:p w14:paraId="3BC87049">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助理研究员</w:t>
            </w:r>
          </w:p>
        </w:tc>
        <w:tc>
          <w:tcPr>
            <w:tcW w:w="3178" w:type="dxa"/>
            <w:vAlign w:val="center"/>
          </w:tcPr>
          <w:p w14:paraId="138864DC">
            <w:pPr>
              <w:jc w:val="center"/>
              <w:rPr>
                <w:rFonts w:eastAsia="仿宋_GB2312" w:cs="宋体"/>
                <w:color w:val="000000"/>
                <w:kern w:val="0"/>
                <w:sz w:val="24"/>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7291FDAC">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数据统计</w:t>
            </w:r>
          </w:p>
        </w:tc>
      </w:tr>
      <w:tr w14:paraId="60B8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36CADE8D">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李伟</w:t>
            </w:r>
          </w:p>
        </w:tc>
        <w:tc>
          <w:tcPr>
            <w:tcW w:w="849" w:type="dxa"/>
            <w:vAlign w:val="center"/>
          </w:tcPr>
          <w:p w14:paraId="1FC893CD">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男</w:t>
            </w:r>
          </w:p>
        </w:tc>
        <w:tc>
          <w:tcPr>
            <w:tcW w:w="1729" w:type="dxa"/>
            <w:vAlign w:val="center"/>
          </w:tcPr>
          <w:p w14:paraId="6CDAEB5F">
            <w:pPr>
              <w:spacing w:line="360" w:lineRule="auto"/>
              <w:jc w:val="center"/>
              <w:rPr>
                <w:rFonts w:eastAsia="仿宋_GB2312" w:cs="宋体"/>
                <w:color w:val="000000"/>
                <w:kern w:val="0"/>
                <w:sz w:val="24"/>
              </w:rPr>
            </w:pPr>
            <w:r>
              <w:rPr>
                <w:rFonts w:hint="eastAsia" w:eastAsia="仿宋_GB2312" w:cs="宋体"/>
                <w:color w:val="000000"/>
                <w:kern w:val="0"/>
                <w:sz w:val="24"/>
                <w:lang w:val="en-US" w:eastAsia="zh-CN"/>
              </w:rPr>
              <w:t>助理研究员</w:t>
            </w:r>
          </w:p>
        </w:tc>
        <w:tc>
          <w:tcPr>
            <w:tcW w:w="3178" w:type="dxa"/>
            <w:vAlign w:val="center"/>
          </w:tcPr>
          <w:p w14:paraId="25849BCA">
            <w:pPr>
              <w:jc w:val="center"/>
              <w:rPr>
                <w:sz w:val="24"/>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6B596D05">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样品采集</w:t>
            </w:r>
          </w:p>
        </w:tc>
      </w:tr>
      <w:tr w14:paraId="5E9B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1A8C8E88">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王丽慧</w:t>
            </w:r>
          </w:p>
        </w:tc>
        <w:tc>
          <w:tcPr>
            <w:tcW w:w="849" w:type="dxa"/>
            <w:vAlign w:val="center"/>
          </w:tcPr>
          <w:p w14:paraId="1D44A737">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女</w:t>
            </w:r>
          </w:p>
        </w:tc>
        <w:tc>
          <w:tcPr>
            <w:tcW w:w="1729" w:type="dxa"/>
            <w:vAlign w:val="center"/>
          </w:tcPr>
          <w:p w14:paraId="6DCF981C">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副研究员</w:t>
            </w:r>
          </w:p>
        </w:tc>
        <w:tc>
          <w:tcPr>
            <w:tcW w:w="3178" w:type="dxa"/>
            <w:vAlign w:val="center"/>
          </w:tcPr>
          <w:p w14:paraId="500B4DAD">
            <w:pPr>
              <w:spacing w:line="480" w:lineRule="exact"/>
              <w:jc w:val="center"/>
              <w:rPr>
                <w:rFonts w:eastAsia="仿宋_GB2312" w:cs="宋体"/>
                <w:color w:val="000000"/>
                <w:kern w:val="0"/>
                <w:sz w:val="24"/>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5CAFC814">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技术指导</w:t>
            </w:r>
          </w:p>
        </w:tc>
      </w:tr>
      <w:tr w14:paraId="0F5D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0F7551D2">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李江</w:t>
            </w:r>
          </w:p>
        </w:tc>
        <w:tc>
          <w:tcPr>
            <w:tcW w:w="849" w:type="dxa"/>
            <w:vAlign w:val="center"/>
          </w:tcPr>
          <w:p w14:paraId="22D090C0">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男</w:t>
            </w:r>
          </w:p>
        </w:tc>
        <w:tc>
          <w:tcPr>
            <w:tcW w:w="1729" w:type="dxa"/>
            <w:vAlign w:val="center"/>
          </w:tcPr>
          <w:p w14:paraId="364DD6B7">
            <w:pPr>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副研究员</w:t>
            </w:r>
          </w:p>
        </w:tc>
        <w:tc>
          <w:tcPr>
            <w:tcW w:w="3178" w:type="dxa"/>
            <w:vAlign w:val="center"/>
          </w:tcPr>
          <w:p w14:paraId="6332F076">
            <w:pPr>
              <w:jc w:val="center"/>
              <w:rPr>
                <w:rFonts w:eastAsia="仿宋_GB2312" w:cs="宋体"/>
                <w:color w:val="000000"/>
                <w:kern w:val="0"/>
                <w:sz w:val="24"/>
              </w:rPr>
            </w:pPr>
            <w:r>
              <w:rPr>
                <w:rFonts w:hint="eastAsia" w:eastAsia="仿宋_GB2312" w:cs="宋体"/>
                <w:color w:val="000000"/>
                <w:kern w:val="0"/>
                <w:sz w:val="24"/>
              </w:rPr>
              <w:t>青海</w:t>
            </w:r>
            <w:r>
              <w:rPr>
                <w:rFonts w:hint="eastAsia" w:eastAsia="仿宋_GB2312" w:cs="宋体"/>
                <w:color w:val="000000"/>
                <w:kern w:val="0"/>
                <w:sz w:val="24"/>
                <w:lang w:val="en-US" w:eastAsia="zh-CN"/>
              </w:rPr>
              <w:t>大学农林科学院</w:t>
            </w:r>
          </w:p>
        </w:tc>
        <w:tc>
          <w:tcPr>
            <w:tcW w:w="1662" w:type="dxa"/>
            <w:vAlign w:val="center"/>
          </w:tcPr>
          <w:p w14:paraId="343FD1BC">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试验示范</w:t>
            </w:r>
          </w:p>
        </w:tc>
      </w:tr>
      <w:tr w14:paraId="45CB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5" w:type="dxa"/>
            <w:vAlign w:val="center"/>
          </w:tcPr>
          <w:p w14:paraId="1661E895">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雷有月</w:t>
            </w:r>
          </w:p>
        </w:tc>
        <w:tc>
          <w:tcPr>
            <w:tcW w:w="849" w:type="dxa"/>
            <w:vAlign w:val="center"/>
          </w:tcPr>
          <w:p w14:paraId="45245646">
            <w:pPr>
              <w:spacing w:line="480" w:lineRule="exact"/>
              <w:jc w:val="center"/>
              <w:rPr>
                <w:rFonts w:hint="eastAsia" w:eastAsia="仿宋_GB2312" w:cs="宋体"/>
                <w:color w:val="000000"/>
                <w:kern w:val="0"/>
                <w:sz w:val="24"/>
                <w:lang w:val="en-US" w:eastAsia="zh-CN"/>
              </w:rPr>
            </w:pPr>
            <w:r>
              <w:rPr>
                <w:rFonts w:hint="eastAsia" w:eastAsia="仿宋_GB2312" w:cs="宋体"/>
                <w:color w:val="000000"/>
                <w:kern w:val="0"/>
                <w:sz w:val="24"/>
                <w:lang w:val="en-US" w:eastAsia="zh-CN"/>
              </w:rPr>
              <w:t>女</w:t>
            </w:r>
          </w:p>
        </w:tc>
        <w:tc>
          <w:tcPr>
            <w:tcW w:w="1729" w:type="dxa"/>
            <w:vAlign w:val="center"/>
          </w:tcPr>
          <w:p w14:paraId="1E0E9379">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总经理</w:t>
            </w:r>
          </w:p>
        </w:tc>
        <w:tc>
          <w:tcPr>
            <w:tcW w:w="3178" w:type="dxa"/>
            <w:vAlign w:val="center"/>
          </w:tcPr>
          <w:p w14:paraId="303C4CD8">
            <w:pPr>
              <w:jc w:val="center"/>
              <w:rPr>
                <w:sz w:val="24"/>
              </w:rPr>
            </w:pPr>
            <w:r>
              <w:rPr>
                <w:rFonts w:hint="eastAsia" w:ascii="仿宋_GB2312" w:hAnsi="仿宋_GB2312" w:eastAsia="仿宋_GB2312" w:cs="仿宋_GB2312"/>
                <w:sz w:val="24"/>
              </w:rPr>
              <w:t>青海出彩农业开发有限公司</w:t>
            </w:r>
          </w:p>
        </w:tc>
        <w:tc>
          <w:tcPr>
            <w:tcW w:w="1662" w:type="dxa"/>
            <w:vAlign w:val="center"/>
          </w:tcPr>
          <w:p w14:paraId="145CC3AD">
            <w:pPr>
              <w:spacing w:line="480" w:lineRule="exact"/>
              <w:jc w:val="center"/>
              <w:rPr>
                <w:rFonts w:hint="default" w:eastAsia="仿宋_GB2312" w:cs="宋体"/>
                <w:color w:val="000000"/>
                <w:kern w:val="0"/>
                <w:sz w:val="24"/>
                <w:lang w:val="en-US" w:eastAsia="zh-CN"/>
              </w:rPr>
            </w:pPr>
            <w:r>
              <w:rPr>
                <w:rFonts w:hint="eastAsia" w:eastAsia="仿宋_GB2312" w:cs="宋体"/>
                <w:color w:val="000000"/>
                <w:kern w:val="0"/>
                <w:sz w:val="24"/>
                <w:lang w:val="en-US" w:eastAsia="zh-CN"/>
              </w:rPr>
              <w:t>试验示范</w:t>
            </w:r>
          </w:p>
        </w:tc>
      </w:tr>
    </w:tbl>
    <w:p w14:paraId="26781FC0">
      <w:pPr>
        <w:widowControl/>
        <w:autoSpaceDE w:val="0"/>
        <w:autoSpaceDN w:val="0"/>
        <w:spacing w:before="156" w:beforeLines="50" w:after="156" w:afterLines="50"/>
        <w:rPr>
          <w:rFonts w:eastAsia="黑体"/>
          <w:b/>
          <w:sz w:val="32"/>
          <w:szCs w:val="32"/>
        </w:rPr>
      </w:pPr>
      <w:r>
        <w:rPr>
          <w:rFonts w:hint="eastAsia" w:eastAsia="黑体"/>
          <w:b/>
          <w:sz w:val="32"/>
          <w:szCs w:val="32"/>
        </w:rPr>
        <w:t>二、制定标准的必要性和意义</w:t>
      </w:r>
    </w:p>
    <w:p w14:paraId="105BF6FE">
      <w:pPr>
        <w:widowControl/>
        <w:autoSpaceDE w:val="0"/>
        <w:autoSpaceDN w:val="0"/>
        <w:spacing w:before="156" w:beforeLines="50" w:after="156" w:afterLines="50"/>
        <w:ind w:firstLine="640" w:firstLineChars="200"/>
        <w:rPr>
          <w:rFonts w:hint="eastAsia" w:eastAsia="仿宋_GB2312"/>
          <w:kern w:val="0"/>
          <w:sz w:val="32"/>
          <w:szCs w:val="32"/>
        </w:rPr>
      </w:pPr>
      <w:r>
        <w:rPr>
          <w:rFonts w:hint="eastAsia" w:eastAsia="仿宋_GB2312"/>
          <w:kern w:val="0"/>
          <w:sz w:val="32"/>
          <w:szCs w:val="32"/>
        </w:rPr>
        <w:t>青海地处高原，冷凉性气候特征显著，气温偏低、昼夜温差大、日照时间长、太阳辐射强。依托独特的冷凉气候资源，莴苣类蔬菜生产已成为青海省农业增效和农民增收的重要产业之一。近年来，随着</w:t>
      </w:r>
      <w:r>
        <w:rPr>
          <w:rFonts w:hint="eastAsia" w:eastAsia="仿宋_GB2312"/>
          <w:kern w:val="0"/>
          <w:sz w:val="32"/>
          <w:szCs w:val="32"/>
          <w:lang w:val="en-US" w:eastAsia="zh-CN"/>
        </w:rPr>
        <w:t>高原冷凉蔬菜的不断</w:t>
      </w:r>
      <w:r>
        <w:rPr>
          <w:rFonts w:hint="eastAsia" w:eastAsia="仿宋_GB2312"/>
          <w:kern w:val="0"/>
          <w:sz w:val="32"/>
          <w:szCs w:val="32"/>
        </w:rPr>
        <w:t>发展，莴苣类蔬菜的集约化育苗需求日益增强。然而，目前省内各地在育苗技术方面仍存在操作不统一、管理水平参差不齐</w:t>
      </w:r>
      <w:r>
        <w:rPr>
          <w:rFonts w:hint="eastAsia" w:eastAsia="仿宋_GB2312"/>
          <w:kern w:val="0"/>
          <w:sz w:val="32"/>
          <w:szCs w:val="32"/>
          <w:lang w:eastAsia="zh-CN"/>
        </w:rPr>
        <w:t>、</w:t>
      </w:r>
      <w:r>
        <w:rPr>
          <w:rFonts w:hint="eastAsia" w:eastAsia="仿宋_GB2312"/>
          <w:kern w:val="0"/>
          <w:sz w:val="32"/>
          <w:szCs w:val="32"/>
          <w:lang w:val="en-US" w:eastAsia="zh-CN"/>
        </w:rPr>
        <w:t>效率低下、苗质差</w:t>
      </w:r>
      <w:r>
        <w:rPr>
          <w:rFonts w:hint="eastAsia" w:eastAsia="仿宋_GB2312"/>
          <w:kern w:val="0"/>
          <w:sz w:val="32"/>
          <w:szCs w:val="32"/>
        </w:rPr>
        <w:t>等问题，部分农户依赖传统经验，缺乏科学规范的指导，影响了育苗质量和生产效率。因此，制定《莴苣类蔬菜穴盘育苗技术规程》，为生产者提供系统、规范的技术指导，已成为推动产业标准化、高质量发展的迫切需求。当前，青海省在莴苣类蔬菜育苗方面尚未形成统一的地方标准或团体标准，相关技术多依赖外来经验，难以完全适应本地气候特点和设施条件。本文件的制定，能够填补该领域标准空白，细化从育苗场地、设施设备、基质配比到苗期管理等各环节的技术要求，提升莴苣类蔬菜育苗的标准化水平和成苗质量。通过规范育苗流程，有助于实现节水、节肥、减药，促进绿色生产，增强产业竞争力，为青海省蔬菜产业健康发展提供有力的技术支撑。</w:t>
      </w:r>
    </w:p>
    <w:p w14:paraId="2A7A1341">
      <w:pPr>
        <w:widowControl/>
        <w:autoSpaceDE w:val="0"/>
        <w:autoSpaceDN w:val="0"/>
        <w:spacing w:before="156" w:beforeLines="50" w:after="156" w:afterLines="50"/>
        <w:rPr>
          <w:rFonts w:eastAsia="黑体"/>
          <w:b/>
          <w:sz w:val="32"/>
          <w:szCs w:val="32"/>
        </w:rPr>
      </w:pPr>
      <w:r>
        <w:rPr>
          <w:rFonts w:hint="eastAsia" w:eastAsia="黑体"/>
          <w:b/>
          <w:sz w:val="32"/>
          <w:szCs w:val="32"/>
        </w:rPr>
        <w:t>三、主要起草过程</w:t>
      </w:r>
    </w:p>
    <w:p w14:paraId="28416E1F">
      <w:pPr>
        <w:widowControl/>
        <w:autoSpaceDE w:val="0"/>
        <w:autoSpaceDN w:val="0"/>
        <w:spacing w:before="156" w:beforeLines="50" w:after="156" w:afterLines="50"/>
        <w:ind w:firstLine="480"/>
        <w:rPr>
          <w:rFonts w:eastAsia="楷体_GB2312" w:cs="宋体"/>
          <w:kern w:val="0"/>
          <w:sz w:val="32"/>
          <w:szCs w:val="32"/>
        </w:rPr>
      </w:pPr>
      <w:r>
        <w:rPr>
          <w:rFonts w:hint="eastAsia" w:eastAsia="楷体_GB2312" w:cs="宋体"/>
          <w:bCs/>
          <w:kern w:val="0"/>
          <w:sz w:val="32"/>
          <w:szCs w:val="32"/>
        </w:rPr>
        <w:t>（一）前期工作</w:t>
      </w:r>
    </w:p>
    <w:p w14:paraId="712A5601">
      <w:pPr>
        <w:ind w:firstLine="640" w:firstLineChars="200"/>
        <w:rPr>
          <w:rFonts w:eastAsia="仿宋_GB2312"/>
          <w:kern w:val="0"/>
          <w:sz w:val="32"/>
          <w:szCs w:val="32"/>
        </w:rPr>
      </w:pPr>
      <w:r>
        <w:rPr>
          <w:rFonts w:hint="eastAsia" w:eastAsia="仿宋_GB2312"/>
          <w:kern w:val="0"/>
          <w:sz w:val="32"/>
          <w:szCs w:val="32"/>
        </w:rPr>
        <w:t>该标准立项后，标准制订小组立即着手进行有关</w:t>
      </w:r>
      <w:r>
        <w:rPr>
          <w:rFonts w:hint="eastAsia" w:eastAsia="仿宋_GB2312"/>
          <w:kern w:val="0"/>
          <w:sz w:val="32"/>
          <w:szCs w:val="32"/>
          <w:lang w:val="en-US" w:eastAsia="zh-CN"/>
        </w:rPr>
        <w:t>莴苣类蔬菜</w:t>
      </w:r>
      <w:r>
        <w:rPr>
          <w:rFonts w:hint="eastAsia" w:eastAsia="仿宋_GB2312"/>
          <w:kern w:val="0"/>
          <w:sz w:val="32"/>
          <w:szCs w:val="32"/>
        </w:rPr>
        <w:t>的省内外调研及国家标准和地方标准查新工作，在大量收集、整理和分析相关领域相关的技术资料，并按制定标准的要求进行分类整理、同时进行了产地调研，为科学制定标准奠定了良好的基础。</w:t>
      </w:r>
      <w:r>
        <w:rPr>
          <w:rFonts w:hint="eastAsia" w:eastAsia="仿宋_GB2312"/>
          <w:kern w:val="0"/>
          <w:sz w:val="32"/>
          <w:szCs w:val="32"/>
          <w:highlight w:val="none"/>
        </w:rPr>
        <w:t>经充分调研，目前有关</w:t>
      </w:r>
      <w:r>
        <w:rPr>
          <w:rFonts w:hint="eastAsia" w:eastAsia="仿宋_GB2312"/>
          <w:kern w:val="0"/>
          <w:sz w:val="32"/>
          <w:szCs w:val="32"/>
          <w:highlight w:val="none"/>
          <w:lang w:val="en-US" w:eastAsia="zh-CN"/>
        </w:rPr>
        <w:t>莴苣类蔬菜基质育苗研究</w:t>
      </w:r>
      <w:r>
        <w:rPr>
          <w:rFonts w:hint="eastAsia" w:eastAsia="仿宋_GB2312"/>
          <w:kern w:val="0"/>
          <w:sz w:val="32"/>
          <w:szCs w:val="32"/>
          <w:highlight w:val="none"/>
        </w:rPr>
        <w:t>论文较多，但是没有相关的国家标准和行业标准，也没有相关的青海省地方标准；</w:t>
      </w:r>
      <w:r>
        <w:rPr>
          <w:rFonts w:hint="eastAsia" w:eastAsia="仿宋_GB2312"/>
          <w:kern w:val="0"/>
          <w:sz w:val="32"/>
          <w:szCs w:val="32"/>
        </w:rPr>
        <w:t>制定该技术规范，可以补充完善我省</w:t>
      </w:r>
      <w:r>
        <w:rPr>
          <w:rFonts w:hint="eastAsia" w:eastAsia="仿宋_GB2312"/>
          <w:kern w:val="0"/>
          <w:sz w:val="32"/>
          <w:szCs w:val="32"/>
          <w:lang w:val="en-US" w:eastAsia="zh-CN"/>
        </w:rPr>
        <w:t>露地蔬菜生产</w:t>
      </w:r>
      <w:r>
        <w:rPr>
          <w:rFonts w:hint="eastAsia" w:eastAsia="仿宋_GB2312"/>
          <w:kern w:val="0"/>
          <w:sz w:val="32"/>
          <w:szCs w:val="32"/>
        </w:rPr>
        <w:t>中相关的</w:t>
      </w:r>
      <w:r>
        <w:rPr>
          <w:rFonts w:hint="eastAsia" w:eastAsia="仿宋_GB2312"/>
          <w:kern w:val="0"/>
          <w:sz w:val="32"/>
          <w:szCs w:val="32"/>
          <w:lang w:val="en-US" w:eastAsia="zh-CN"/>
        </w:rPr>
        <w:t>集约化育苗</w:t>
      </w:r>
      <w:r>
        <w:rPr>
          <w:rFonts w:hint="eastAsia" w:eastAsia="仿宋_GB2312"/>
          <w:kern w:val="0"/>
          <w:sz w:val="32"/>
          <w:szCs w:val="32"/>
        </w:rPr>
        <w:t>技术，并规范实际</w:t>
      </w:r>
      <w:r>
        <w:rPr>
          <w:rFonts w:hint="eastAsia" w:eastAsia="仿宋_GB2312"/>
          <w:kern w:val="0"/>
          <w:sz w:val="32"/>
          <w:szCs w:val="32"/>
          <w:lang w:val="en-US" w:eastAsia="zh-CN"/>
        </w:rPr>
        <w:t>育苗</w:t>
      </w:r>
      <w:r>
        <w:rPr>
          <w:rFonts w:hint="eastAsia" w:eastAsia="仿宋_GB2312"/>
          <w:kern w:val="0"/>
          <w:sz w:val="32"/>
          <w:szCs w:val="32"/>
        </w:rPr>
        <w:t>生产。</w:t>
      </w:r>
    </w:p>
    <w:p w14:paraId="00324DCB">
      <w:pPr>
        <w:widowControl/>
        <w:autoSpaceDE w:val="0"/>
        <w:autoSpaceDN w:val="0"/>
        <w:spacing w:before="156" w:beforeLines="50" w:after="156" w:afterLines="50"/>
        <w:ind w:firstLine="640" w:firstLineChars="200"/>
        <w:rPr>
          <w:rFonts w:eastAsia="楷体_GB2312" w:cs="宋体"/>
          <w:b/>
          <w:bCs/>
          <w:kern w:val="0"/>
          <w:sz w:val="32"/>
          <w:szCs w:val="32"/>
        </w:rPr>
      </w:pPr>
      <w:r>
        <w:rPr>
          <w:rFonts w:hint="eastAsia" w:eastAsia="楷体_GB2312" w:cs="宋体"/>
          <w:bCs/>
          <w:kern w:val="0"/>
          <w:sz w:val="32"/>
          <w:szCs w:val="32"/>
        </w:rPr>
        <w:t>（二）成立起草小组</w:t>
      </w:r>
    </w:p>
    <w:p w14:paraId="24DF07BD">
      <w:pPr>
        <w:spacing w:line="300" w:lineRule="auto"/>
        <w:ind w:firstLine="640" w:firstLineChars="200"/>
        <w:rPr>
          <w:rFonts w:eastAsia="仿宋_GB2312"/>
          <w:kern w:val="0"/>
          <w:sz w:val="32"/>
          <w:szCs w:val="32"/>
        </w:rPr>
      </w:pPr>
      <w:r>
        <w:rPr>
          <w:rFonts w:hint="eastAsia" w:eastAsia="仿宋_GB2312" w:cs="宋体"/>
          <w:kern w:val="0"/>
          <w:sz w:val="32"/>
          <w:szCs w:val="32"/>
        </w:rPr>
        <w:t>为做好《莴苣类蔬菜穴盘育苗技术规程》青海</w:t>
      </w:r>
      <w:r>
        <w:rPr>
          <w:rFonts w:hint="eastAsia" w:eastAsia="仿宋_GB2312" w:cs="宋体"/>
          <w:kern w:val="0"/>
          <w:sz w:val="32"/>
          <w:szCs w:val="32"/>
          <w:lang w:val="en-US" w:eastAsia="zh-CN"/>
        </w:rPr>
        <w:t>团体</w:t>
      </w:r>
      <w:r>
        <w:rPr>
          <w:rFonts w:hint="eastAsia" w:eastAsia="仿宋_GB2312" w:cs="宋体"/>
          <w:kern w:val="0"/>
          <w:sz w:val="32"/>
          <w:szCs w:val="32"/>
        </w:rPr>
        <w:t>标准的编制工作，青海</w:t>
      </w:r>
      <w:r>
        <w:rPr>
          <w:rFonts w:hint="eastAsia" w:eastAsia="仿宋_GB2312" w:cs="宋体"/>
          <w:kern w:val="0"/>
          <w:sz w:val="32"/>
          <w:szCs w:val="32"/>
          <w:lang w:val="en-US" w:eastAsia="zh-CN"/>
        </w:rPr>
        <w:t>大学</w:t>
      </w:r>
      <w:r>
        <w:rPr>
          <w:rFonts w:hint="eastAsia" w:eastAsia="仿宋_GB2312" w:cs="宋体"/>
          <w:kern w:val="0"/>
          <w:sz w:val="32"/>
          <w:szCs w:val="32"/>
        </w:rPr>
        <w:t>农林科学院园艺</w:t>
      </w:r>
      <w:r>
        <w:rPr>
          <w:rFonts w:hint="eastAsia" w:eastAsia="仿宋_GB2312" w:cs="宋体"/>
          <w:kern w:val="0"/>
          <w:sz w:val="32"/>
          <w:szCs w:val="32"/>
          <w:lang w:val="en-US" w:eastAsia="zh-CN"/>
        </w:rPr>
        <w:t>研究</w:t>
      </w:r>
      <w:r>
        <w:rPr>
          <w:rFonts w:hint="eastAsia" w:eastAsia="仿宋_GB2312" w:cs="宋体"/>
          <w:kern w:val="0"/>
          <w:sz w:val="32"/>
          <w:szCs w:val="32"/>
        </w:rPr>
        <w:t>所的专业技术人员</w:t>
      </w:r>
      <w:r>
        <w:rPr>
          <w:rFonts w:hint="eastAsia" w:eastAsia="仿宋_GB2312"/>
          <w:kern w:val="0"/>
          <w:sz w:val="32"/>
          <w:szCs w:val="32"/>
        </w:rPr>
        <w:t>从20</w:t>
      </w:r>
      <w:r>
        <w:rPr>
          <w:rFonts w:eastAsia="仿宋_GB2312"/>
          <w:kern w:val="0"/>
          <w:sz w:val="32"/>
          <w:szCs w:val="32"/>
        </w:rPr>
        <w:t>24</w:t>
      </w:r>
      <w:r>
        <w:rPr>
          <w:rFonts w:hint="eastAsia" w:eastAsia="仿宋_GB2312"/>
          <w:kern w:val="0"/>
          <w:sz w:val="32"/>
          <w:szCs w:val="32"/>
        </w:rPr>
        <w:t>年</w:t>
      </w:r>
      <w:r>
        <w:rPr>
          <w:rFonts w:hint="eastAsia" w:eastAsia="仿宋_GB2312"/>
          <w:kern w:val="0"/>
          <w:sz w:val="32"/>
          <w:szCs w:val="32"/>
          <w:lang w:val="en-US" w:eastAsia="zh-CN"/>
        </w:rPr>
        <w:t>9</w:t>
      </w:r>
      <w:r>
        <w:rPr>
          <w:rFonts w:hint="eastAsia" w:eastAsia="仿宋_GB2312"/>
          <w:kern w:val="0"/>
          <w:sz w:val="32"/>
          <w:szCs w:val="32"/>
        </w:rPr>
        <w:t>月份</w:t>
      </w:r>
      <w:r>
        <w:rPr>
          <w:rFonts w:hint="eastAsia" w:eastAsia="仿宋_GB2312"/>
          <w:sz w:val="32"/>
          <w:szCs w:val="32"/>
        </w:rPr>
        <w:t>开展了相关标准的实验研究</w:t>
      </w:r>
      <w:r>
        <w:rPr>
          <w:rFonts w:eastAsia="仿宋_GB2312"/>
          <w:sz w:val="32"/>
          <w:szCs w:val="32"/>
        </w:rPr>
        <w:t>及</w:t>
      </w:r>
      <w:r>
        <w:rPr>
          <w:rFonts w:hint="eastAsia" w:eastAsia="仿宋_GB2312"/>
          <w:sz w:val="32"/>
          <w:szCs w:val="32"/>
        </w:rPr>
        <w:t>编写</w:t>
      </w:r>
      <w:r>
        <w:rPr>
          <w:rFonts w:eastAsia="仿宋_GB2312"/>
          <w:sz w:val="32"/>
          <w:szCs w:val="32"/>
        </w:rPr>
        <w:t>的安排部署</w:t>
      </w:r>
      <w:r>
        <w:rPr>
          <w:rFonts w:hint="eastAsia" w:eastAsia="仿宋_GB2312"/>
          <w:sz w:val="32"/>
          <w:szCs w:val="32"/>
        </w:rPr>
        <w:t>工作。</w:t>
      </w:r>
    </w:p>
    <w:p w14:paraId="1B38B0D6">
      <w:pPr>
        <w:widowControl/>
        <w:autoSpaceDE w:val="0"/>
        <w:autoSpaceDN w:val="0"/>
        <w:spacing w:before="156" w:beforeLines="50" w:after="156" w:afterLines="50"/>
        <w:ind w:firstLine="800" w:firstLineChars="250"/>
        <w:rPr>
          <w:rFonts w:eastAsia="楷体_GB2312" w:cs="宋体"/>
          <w:kern w:val="0"/>
          <w:sz w:val="32"/>
          <w:szCs w:val="32"/>
        </w:rPr>
      </w:pPr>
      <w:r>
        <w:rPr>
          <w:rFonts w:hint="eastAsia" w:eastAsia="楷体_GB2312" w:cs="宋体"/>
          <w:bCs/>
          <w:kern w:val="0"/>
          <w:sz w:val="32"/>
          <w:szCs w:val="32"/>
        </w:rPr>
        <w:t>（三）系统总结和归纳</w:t>
      </w:r>
    </w:p>
    <w:p w14:paraId="68E4B511">
      <w:pPr>
        <w:widowControl/>
        <w:autoSpaceDE w:val="0"/>
        <w:autoSpaceDN w:val="0"/>
        <w:spacing w:before="156" w:beforeLines="50" w:after="156" w:afterLines="50"/>
        <w:ind w:firstLine="640" w:firstLineChars="200"/>
        <w:rPr>
          <w:rFonts w:eastAsia="仿宋_GB2312" w:cs="宋体"/>
          <w:kern w:val="0"/>
          <w:sz w:val="32"/>
          <w:szCs w:val="32"/>
        </w:rPr>
      </w:pPr>
      <w:r>
        <w:rPr>
          <w:rFonts w:hint="eastAsia" w:eastAsia="仿宋_GB2312" w:cs="宋体"/>
          <w:kern w:val="0"/>
          <w:sz w:val="32"/>
          <w:szCs w:val="32"/>
        </w:rPr>
        <w:t>20</w:t>
      </w:r>
      <w:r>
        <w:rPr>
          <w:rFonts w:eastAsia="仿宋_GB2312" w:cs="宋体"/>
          <w:kern w:val="0"/>
          <w:sz w:val="32"/>
          <w:szCs w:val="32"/>
        </w:rPr>
        <w:t>24</w:t>
      </w:r>
      <w:r>
        <w:rPr>
          <w:rFonts w:hint="eastAsia" w:eastAsia="仿宋_GB2312" w:cs="宋体"/>
          <w:kern w:val="0"/>
          <w:sz w:val="32"/>
          <w:szCs w:val="32"/>
        </w:rPr>
        <w:t>年</w:t>
      </w:r>
      <w:r>
        <w:rPr>
          <w:rFonts w:hint="eastAsia" w:eastAsia="仿宋_GB2312" w:cs="宋体"/>
          <w:kern w:val="0"/>
          <w:sz w:val="32"/>
          <w:szCs w:val="32"/>
          <w:lang w:eastAsia="zh-CN"/>
        </w:rPr>
        <w:t>—</w:t>
      </w:r>
      <w:r>
        <w:rPr>
          <w:rFonts w:hint="eastAsia" w:eastAsia="仿宋_GB2312"/>
          <w:kern w:val="0"/>
          <w:sz w:val="32"/>
          <w:szCs w:val="32"/>
        </w:rPr>
        <w:t>20</w:t>
      </w:r>
      <w:r>
        <w:rPr>
          <w:rFonts w:eastAsia="仿宋_GB2312"/>
          <w:kern w:val="0"/>
          <w:sz w:val="32"/>
          <w:szCs w:val="32"/>
        </w:rPr>
        <w:t>25</w:t>
      </w:r>
      <w:r>
        <w:rPr>
          <w:rFonts w:hint="eastAsia" w:eastAsia="仿宋_GB2312"/>
          <w:kern w:val="0"/>
          <w:sz w:val="32"/>
          <w:szCs w:val="32"/>
        </w:rPr>
        <w:t>年</w:t>
      </w:r>
      <w:r>
        <w:rPr>
          <w:rFonts w:hint="eastAsia" w:eastAsia="仿宋_GB2312" w:cs="宋体"/>
          <w:kern w:val="0"/>
          <w:sz w:val="32"/>
          <w:szCs w:val="32"/>
        </w:rPr>
        <w:t>，在理论研究与实地调研的基础上，结合青海省高原冷凉气候特点，起草</w:t>
      </w:r>
      <w:r>
        <w:rPr>
          <w:rFonts w:hint="eastAsia" w:eastAsia="仿宋_GB2312" w:cs="宋体"/>
          <w:kern w:val="0"/>
          <w:sz w:val="32"/>
          <w:szCs w:val="32"/>
          <w:lang w:val="en-US" w:eastAsia="zh-CN"/>
        </w:rPr>
        <w:t>小</w:t>
      </w:r>
      <w:r>
        <w:rPr>
          <w:rFonts w:hint="eastAsia" w:eastAsia="仿宋_GB2312" w:cs="宋体"/>
          <w:kern w:val="0"/>
          <w:sz w:val="32"/>
          <w:szCs w:val="32"/>
        </w:rPr>
        <w:t>组进行了多点的田间试验和验证，对关键技术参数进行了优化和确定。</w:t>
      </w:r>
      <w:r>
        <w:rPr>
          <w:rFonts w:hint="eastAsia" w:eastAsia="仿宋_GB2312"/>
          <w:kern w:val="0"/>
          <w:sz w:val="32"/>
          <w:szCs w:val="32"/>
        </w:rPr>
        <w:t>起草小组</w:t>
      </w:r>
      <w:r>
        <w:rPr>
          <w:rFonts w:hint="eastAsia" w:eastAsia="仿宋_GB2312" w:cs="宋体"/>
          <w:kern w:val="0"/>
          <w:sz w:val="32"/>
          <w:szCs w:val="32"/>
        </w:rPr>
        <w:t>对试验过程中出现的一系列问题进行了总结归纳，</w:t>
      </w:r>
      <w:r>
        <w:rPr>
          <w:rFonts w:hint="eastAsia" w:eastAsia="仿宋_GB2312"/>
          <w:kern w:val="0"/>
          <w:sz w:val="32"/>
          <w:szCs w:val="32"/>
        </w:rPr>
        <w:t>通过认真研究讨论，提出了制定提纲</w:t>
      </w:r>
      <w:r>
        <w:rPr>
          <w:rFonts w:hint="eastAsia" w:eastAsia="仿宋_GB2312"/>
          <w:kern w:val="0"/>
          <w:sz w:val="32"/>
          <w:szCs w:val="32"/>
          <w:lang w:eastAsia="zh-CN"/>
        </w:rPr>
        <w:t>的建议，</w:t>
      </w:r>
      <w:r>
        <w:rPr>
          <w:rFonts w:hint="eastAsia" w:eastAsia="仿宋_GB2312"/>
          <w:kern w:val="0"/>
          <w:sz w:val="32"/>
          <w:szCs w:val="32"/>
        </w:rPr>
        <w:t>决定了制定规范的框架。</w:t>
      </w:r>
      <w:r>
        <w:rPr>
          <w:rFonts w:hint="eastAsia" w:eastAsia="仿宋_GB2312" w:cs="宋体"/>
          <w:kern w:val="0"/>
          <w:sz w:val="32"/>
          <w:szCs w:val="32"/>
        </w:rPr>
        <w:t>形成了《莴苣类蔬菜穴盘育苗技术规程》的初稿。</w:t>
      </w:r>
    </w:p>
    <w:p w14:paraId="29033747">
      <w:pPr>
        <w:widowControl/>
        <w:autoSpaceDE w:val="0"/>
        <w:autoSpaceDN w:val="0"/>
        <w:spacing w:before="156" w:beforeLines="50" w:after="156" w:afterLines="50"/>
        <w:ind w:firstLine="627" w:firstLineChars="196"/>
        <w:rPr>
          <w:rFonts w:eastAsia="楷体_GB2312" w:cs="宋体"/>
          <w:kern w:val="0"/>
          <w:sz w:val="32"/>
          <w:szCs w:val="32"/>
        </w:rPr>
      </w:pPr>
      <w:r>
        <w:rPr>
          <w:rFonts w:hint="eastAsia" w:eastAsia="楷体_GB2312" w:cs="宋体"/>
          <w:bCs/>
          <w:kern w:val="0"/>
          <w:sz w:val="32"/>
          <w:szCs w:val="32"/>
        </w:rPr>
        <w:t>（四）起草文本</w:t>
      </w:r>
    </w:p>
    <w:p w14:paraId="7B6C5A0F">
      <w:pPr>
        <w:ind w:firstLine="640" w:firstLineChars="200"/>
        <w:rPr>
          <w:rFonts w:eastAsia="仿宋_GB2312" w:cs="宋体"/>
          <w:kern w:val="0"/>
          <w:sz w:val="32"/>
          <w:szCs w:val="32"/>
        </w:rPr>
      </w:pPr>
      <w:r>
        <w:rPr>
          <w:rFonts w:hint="eastAsia" w:eastAsia="仿宋_GB2312" w:cs="宋体"/>
          <w:kern w:val="0"/>
          <w:sz w:val="32"/>
          <w:szCs w:val="32"/>
        </w:rPr>
        <w:t>202</w:t>
      </w:r>
      <w:r>
        <w:rPr>
          <w:rFonts w:eastAsia="仿宋_GB2312" w:cs="宋体"/>
          <w:kern w:val="0"/>
          <w:sz w:val="32"/>
          <w:szCs w:val="32"/>
        </w:rPr>
        <w:t>5</w:t>
      </w:r>
      <w:r>
        <w:rPr>
          <w:rFonts w:hint="eastAsia" w:eastAsia="仿宋_GB2312" w:cs="宋体"/>
          <w:kern w:val="0"/>
          <w:sz w:val="32"/>
          <w:szCs w:val="32"/>
        </w:rPr>
        <w:t>年，在认真听取了相关专家和专业部门对标准的建议，经过实际操作后，起草小组确定了本标准中需要的各项指标。</w:t>
      </w:r>
      <w:r>
        <w:rPr>
          <w:rFonts w:hint="eastAsia" w:eastAsia="仿宋_GB2312"/>
          <w:kern w:val="0"/>
          <w:sz w:val="32"/>
          <w:szCs w:val="32"/>
        </w:rPr>
        <w:t>同时认真查阅了标准制定的有关文件，对标准的格式、内容、术语表达方式等进行了深入学习，严格遵循GB/T1.1</w:t>
      </w:r>
      <w:r>
        <w:rPr>
          <w:rFonts w:eastAsia="仿宋_GB2312"/>
          <w:kern w:val="0"/>
          <w:sz w:val="32"/>
          <w:szCs w:val="32"/>
        </w:rPr>
        <w:t>-2020</w:t>
      </w:r>
      <w:r>
        <w:rPr>
          <w:rFonts w:hint="eastAsia" w:eastAsia="仿宋_GB2312"/>
          <w:kern w:val="0"/>
          <w:sz w:val="32"/>
          <w:szCs w:val="32"/>
        </w:rPr>
        <w:t>《标准化工作导则》所规定的标准编写要求起草了“莴苣类蔬菜集约化穴盘育苗技术规程”标准并经过多次修改、专家修改后，形成送审稿。</w:t>
      </w:r>
    </w:p>
    <w:p w14:paraId="06C7E54B">
      <w:pPr>
        <w:widowControl/>
        <w:autoSpaceDE w:val="0"/>
        <w:autoSpaceDN w:val="0"/>
        <w:spacing w:before="156" w:beforeLines="50" w:after="156" w:afterLines="50"/>
        <w:rPr>
          <w:rFonts w:eastAsia="黑体"/>
          <w:b/>
          <w:sz w:val="32"/>
          <w:szCs w:val="32"/>
        </w:rPr>
      </w:pPr>
      <w:r>
        <w:rPr>
          <w:rFonts w:hint="eastAsia" w:eastAsia="黑体"/>
          <w:b/>
          <w:sz w:val="32"/>
          <w:szCs w:val="32"/>
        </w:rPr>
        <w:t>四、制定标准的原则和依据，与现行法律、法规、标准的关系</w:t>
      </w:r>
    </w:p>
    <w:p w14:paraId="3DB41AD4">
      <w:pPr>
        <w:tabs>
          <w:tab w:val="left" w:pos="360"/>
        </w:tabs>
        <w:ind w:firstLine="640" w:firstLineChars="200"/>
        <w:rPr>
          <w:rFonts w:eastAsia="仿宋_GB2312"/>
          <w:b/>
          <w:sz w:val="32"/>
          <w:szCs w:val="32"/>
        </w:rPr>
      </w:pPr>
      <w:r>
        <w:rPr>
          <w:rFonts w:hint="eastAsia" w:eastAsia="仿宋_GB2312"/>
          <w:sz w:val="32"/>
          <w:szCs w:val="32"/>
          <w:lang w:eastAsia="zh-CN"/>
        </w:rPr>
        <w:t>1.</w:t>
      </w:r>
      <w:r>
        <w:rPr>
          <w:rFonts w:hint="eastAsia" w:eastAsia="仿宋_GB2312"/>
          <w:kern w:val="0"/>
          <w:sz w:val="32"/>
          <w:szCs w:val="32"/>
        </w:rPr>
        <w:t>按照GB/T1.1-2020《标准化工作导则第一部分：标准的结构和编写规则》的要求和规定编写标准内容。</w:t>
      </w:r>
    </w:p>
    <w:p w14:paraId="417613C7">
      <w:pPr>
        <w:tabs>
          <w:tab w:val="left" w:pos="360"/>
        </w:tabs>
        <w:ind w:firstLine="640" w:firstLineChars="200"/>
        <w:rPr>
          <w:rFonts w:eastAsia="仿宋_GB2312"/>
          <w:sz w:val="32"/>
          <w:szCs w:val="32"/>
        </w:rPr>
      </w:pPr>
      <w:r>
        <w:rPr>
          <w:rFonts w:hint="eastAsia" w:eastAsia="仿宋_GB2312"/>
          <w:sz w:val="32"/>
          <w:szCs w:val="32"/>
        </w:rPr>
        <w:t>2.遵循《中华人民共和国标准法》和国家标准化工作的有关规定。力求做到技术先进，经济合理，切实可行，有利于推动技术进步。</w:t>
      </w:r>
    </w:p>
    <w:p w14:paraId="69E18E2F">
      <w:pPr>
        <w:ind w:firstLine="640" w:firstLineChars="200"/>
        <w:rPr>
          <w:rFonts w:eastAsia="仿宋_GB2312"/>
          <w:b/>
          <w:sz w:val="32"/>
          <w:szCs w:val="32"/>
        </w:rPr>
      </w:pPr>
      <w:r>
        <w:rPr>
          <w:rFonts w:hint="eastAsia" w:eastAsia="仿宋_GB2312"/>
          <w:sz w:val="32"/>
          <w:szCs w:val="32"/>
        </w:rPr>
        <w:t>3.本标准制定过程中参照的主要标准与准则见下表：</w:t>
      </w:r>
    </w:p>
    <w:p w14:paraId="1F03FBF9">
      <w:pPr>
        <w:ind w:firstLine="200"/>
        <w:rPr>
          <w:rFonts w:hint="eastAsia" w:eastAsia="仿宋_GB2312"/>
          <w:sz w:val="32"/>
          <w:szCs w:val="32"/>
        </w:rPr>
      </w:pPr>
      <w:r>
        <w:rPr>
          <w:rFonts w:hint="eastAsia" w:eastAsia="仿宋_GB2312"/>
          <w:sz w:val="32"/>
          <w:szCs w:val="32"/>
        </w:rPr>
        <w:t>参照标准与准则</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9"/>
        <w:gridCol w:w="2137"/>
        <w:gridCol w:w="5133"/>
      </w:tblGrid>
      <w:tr w14:paraId="03FC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33" w:type="pct"/>
            <w:vAlign w:val="center"/>
          </w:tcPr>
          <w:p w14:paraId="03C7DFCA">
            <w:pPr>
              <w:ind w:firstLine="198"/>
              <w:jc w:val="center"/>
              <w:rPr>
                <w:rFonts w:eastAsia="仿宋_GB2312"/>
                <w:sz w:val="32"/>
                <w:szCs w:val="32"/>
              </w:rPr>
            </w:pPr>
            <w:r>
              <w:rPr>
                <w:rFonts w:hint="eastAsia" w:eastAsia="仿宋_GB2312"/>
                <w:sz w:val="32"/>
                <w:szCs w:val="32"/>
              </w:rPr>
              <w:t>序号</w:t>
            </w:r>
          </w:p>
        </w:tc>
        <w:tc>
          <w:tcPr>
            <w:tcW w:w="1254" w:type="pct"/>
            <w:vAlign w:val="center"/>
          </w:tcPr>
          <w:p w14:paraId="25E0FDE2">
            <w:pPr>
              <w:ind w:firstLine="198"/>
              <w:jc w:val="center"/>
              <w:rPr>
                <w:rFonts w:eastAsia="仿宋_GB2312"/>
                <w:sz w:val="32"/>
                <w:szCs w:val="32"/>
              </w:rPr>
            </w:pPr>
            <w:r>
              <w:rPr>
                <w:rFonts w:hint="eastAsia" w:eastAsia="仿宋_GB2312"/>
                <w:sz w:val="32"/>
                <w:szCs w:val="32"/>
              </w:rPr>
              <w:t>标准号</w:t>
            </w:r>
          </w:p>
        </w:tc>
        <w:tc>
          <w:tcPr>
            <w:tcW w:w="3012" w:type="pct"/>
            <w:vAlign w:val="center"/>
          </w:tcPr>
          <w:p w14:paraId="4378951A">
            <w:pPr>
              <w:ind w:firstLine="198"/>
              <w:jc w:val="center"/>
              <w:rPr>
                <w:rFonts w:eastAsia="仿宋_GB2312"/>
                <w:sz w:val="32"/>
                <w:szCs w:val="32"/>
              </w:rPr>
            </w:pPr>
            <w:r>
              <w:rPr>
                <w:rFonts w:hint="eastAsia" w:eastAsia="仿宋_GB2312"/>
                <w:sz w:val="32"/>
                <w:szCs w:val="32"/>
              </w:rPr>
              <w:t>标准名称</w:t>
            </w:r>
          </w:p>
        </w:tc>
      </w:tr>
      <w:tr w14:paraId="4FEA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733" w:type="pct"/>
            <w:vAlign w:val="center"/>
          </w:tcPr>
          <w:p w14:paraId="17B67C60">
            <w:pPr>
              <w:ind w:firstLine="198"/>
              <w:jc w:val="center"/>
              <w:rPr>
                <w:rFonts w:eastAsia="仿宋_GB2312"/>
                <w:sz w:val="32"/>
                <w:szCs w:val="32"/>
              </w:rPr>
            </w:pPr>
            <w:r>
              <w:rPr>
                <w:rFonts w:eastAsia="仿宋_GB2312"/>
                <w:sz w:val="32"/>
                <w:szCs w:val="32"/>
              </w:rPr>
              <w:t>1</w:t>
            </w:r>
          </w:p>
        </w:tc>
        <w:tc>
          <w:tcPr>
            <w:tcW w:w="1254" w:type="pct"/>
            <w:vAlign w:val="center"/>
          </w:tcPr>
          <w:p w14:paraId="4ECE2845">
            <w:pPr>
              <w:ind w:firstLine="198"/>
              <w:jc w:val="center"/>
              <w:rPr>
                <w:rFonts w:eastAsia="仿宋_GB2312"/>
                <w:sz w:val="32"/>
                <w:szCs w:val="32"/>
              </w:rPr>
            </w:pPr>
            <w:r>
              <w:rPr>
                <w:rFonts w:hint="eastAsia" w:eastAsia="仿宋_GB2312"/>
                <w:sz w:val="32"/>
                <w:szCs w:val="32"/>
              </w:rPr>
              <w:t>GB/T 5749</w:t>
            </w:r>
          </w:p>
        </w:tc>
        <w:tc>
          <w:tcPr>
            <w:tcW w:w="3012" w:type="pct"/>
            <w:vAlign w:val="center"/>
          </w:tcPr>
          <w:p w14:paraId="55EBBE26">
            <w:pPr>
              <w:ind w:firstLine="198"/>
              <w:jc w:val="center"/>
              <w:rPr>
                <w:rFonts w:eastAsia="仿宋_GB2312"/>
                <w:sz w:val="32"/>
                <w:szCs w:val="32"/>
              </w:rPr>
            </w:pPr>
            <w:r>
              <w:rPr>
                <w:rFonts w:hint="eastAsia" w:eastAsia="仿宋_GB2312"/>
                <w:sz w:val="32"/>
                <w:szCs w:val="32"/>
              </w:rPr>
              <w:t>生活饮用水卫生标准</w:t>
            </w:r>
          </w:p>
        </w:tc>
      </w:tr>
      <w:tr w14:paraId="660C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33" w:type="pct"/>
            <w:vAlign w:val="center"/>
          </w:tcPr>
          <w:p w14:paraId="77C4F760">
            <w:pPr>
              <w:ind w:firstLine="198"/>
              <w:jc w:val="center"/>
              <w:rPr>
                <w:rFonts w:eastAsia="仿宋_GB2312"/>
                <w:sz w:val="32"/>
                <w:szCs w:val="32"/>
              </w:rPr>
            </w:pPr>
            <w:r>
              <w:rPr>
                <w:rFonts w:eastAsia="仿宋_GB2312"/>
                <w:sz w:val="32"/>
                <w:szCs w:val="32"/>
              </w:rPr>
              <w:t>2</w:t>
            </w:r>
          </w:p>
        </w:tc>
        <w:tc>
          <w:tcPr>
            <w:tcW w:w="1254" w:type="pct"/>
            <w:vAlign w:val="center"/>
          </w:tcPr>
          <w:p w14:paraId="5A530653">
            <w:pPr>
              <w:ind w:firstLine="198"/>
              <w:jc w:val="center"/>
              <w:rPr>
                <w:rFonts w:eastAsia="仿宋_GB2312"/>
                <w:sz w:val="32"/>
                <w:szCs w:val="32"/>
              </w:rPr>
            </w:pPr>
            <w:r>
              <w:rPr>
                <w:rFonts w:hint="eastAsia" w:eastAsia="仿宋_GB2312"/>
                <w:sz w:val="32"/>
                <w:szCs w:val="32"/>
              </w:rPr>
              <w:t>GB/T 8321</w:t>
            </w:r>
          </w:p>
        </w:tc>
        <w:tc>
          <w:tcPr>
            <w:tcW w:w="3012" w:type="pct"/>
            <w:vAlign w:val="center"/>
          </w:tcPr>
          <w:p w14:paraId="3E268016">
            <w:pPr>
              <w:ind w:firstLine="198"/>
              <w:jc w:val="center"/>
              <w:rPr>
                <w:rFonts w:eastAsia="仿宋_GB2312"/>
                <w:sz w:val="32"/>
                <w:szCs w:val="32"/>
              </w:rPr>
            </w:pPr>
            <w:r>
              <w:rPr>
                <w:rFonts w:hint="eastAsia" w:eastAsia="仿宋_GB2312"/>
                <w:sz w:val="32"/>
                <w:szCs w:val="32"/>
              </w:rPr>
              <w:t>农药合理使用准则</w:t>
            </w:r>
          </w:p>
        </w:tc>
      </w:tr>
      <w:tr w14:paraId="3EDF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pct"/>
            <w:vAlign w:val="center"/>
          </w:tcPr>
          <w:p w14:paraId="0AD5F580">
            <w:pPr>
              <w:ind w:firstLine="198"/>
              <w:jc w:val="center"/>
              <w:rPr>
                <w:rFonts w:eastAsia="仿宋_GB2312"/>
                <w:sz w:val="32"/>
                <w:szCs w:val="32"/>
              </w:rPr>
            </w:pPr>
            <w:r>
              <w:rPr>
                <w:rFonts w:eastAsia="仿宋_GB2312"/>
                <w:sz w:val="32"/>
                <w:szCs w:val="32"/>
              </w:rPr>
              <w:t>3</w:t>
            </w:r>
          </w:p>
        </w:tc>
        <w:tc>
          <w:tcPr>
            <w:tcW w:w="1254" w:type="pct"/>
            <w:shd w:val="clear" w:color="auto" w:fill="auto"/>
            <w:vAlign w:val="center"/>
          </w:tcPr>
          <w:p w14:paraId="4D37D976">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GB 16715.5</w:t>
            </w:r>
          </w:p>
        </w:tc>
        <w:tc>
          <w:tcPr>
            <w:tcW w:w="3012" w:type="pct"/>
            <w:shd w:val="clear" w:color="auto" w:fill="auto"/>
            <w:vAlign w:val="center"/>
          </w:tcPr>
          <w:p w14:paraId="729E52EA">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蔬菜种子质量标准 绿叶菜</w:t>
            </w:r>
          </w:p>
        </w:tc>
      </w:tr>
      <w:tr w14:paraId="3318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pct"/>
            <w:vAlign w:val="center"/>
          </w:tcPr>
          <w:p w14:paraId="460BD76B">
            <w:pPr>
              <w:ind w:firstLine="198"/>
              <w:jc w:val="center"/>
              <w:rPr>
                <w:rFonts w:hint="eastAsia" w:eastAsia="仿宋_GB2312"/>
                <w:sz w:val="32"/>
                <w:szCs w:val="32"/>
                <w:lang w:eastAsia="zh-CN"/>
              </w:rPr>
            </w:pPr>
            <w:r>
              <w:rPr>
                <w:rFonts w:hint="eastAsia" w:eastAsia="仿宋_GB2312"/>
                <w:sz w:val="32"/>
                <w:szCs w:val="32"/>
                <w:lang w:val="en-US" w:eastAsia="zh-CN"/>
              </w:rPr>
              <w:t>4</w:t>
            </w:r>
          </w:p>
        </w:tc>
        <w:tc>
          <w:tcPr>
            <w:tcW w:w="1254" w:type="pct"/>
            <w:shd w:val="clear" w:color="auto" w:fill="auto"/>
            <w:vAlign w:val="center"/>
          </w:tcPr>
          <w:p w14:paraId="4F53F924">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NY/T 391</w:t>
            </w:r>
          </w:p>
        </w:tc>
        <w:tc>
          <w:tcPr>
            <w:tcW w:w="3012" w:type="pct"/>
            <w:shd w:val="clear" w:color="auto" w:fill="auto"/>
            <w:vAlign w:val="center"/>
          </w:tcPr>
          <w:p w14:paraId="6389A8AD">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绿色食品 产地环境质量</w:t>
            </w:r>
          </w:p>
        </w:tc>
      </w:tr>
      <w:tr w14:paraId="06BD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pct"/>
            <w:vAlign w:val="center"/>
          </w:tcPr>
          <w:p w14:paraId="6562F306">
            <w:pPr>
              <w:ind w:firstLine="198"/>
              <w:jc w:val="center"/>
              <w:rPr>
                <w:rFonts w:hint="eastAsia" w:eastAsia="仿宋_GB2312"/>
                <w:sz w:val="32"/>
                <w:szCs w:val="32"/>
                <w:lang w:eastAsia="zh-CN"/>
              </w:rPr>
            </w:pPr>
            <w:r>
              <w:rPr>
                <w:rFonts w:hint="eastAsia" w:eastAsia="仿宋_GB2312"/>
                <w:sz w:val="32"/>
                <w:szCs w:val="32"/>
                <w:lang w:val="en-US" w:eastAsia="zh-CN"/>
              </w:rPr>
              <w:t>5</w:t>
            </w:r>
          </w:p>
        </w:tc>
        <w:tc>
          <w:tcPr>
            <w:tcW w:w="1254" w:type="pct"/>
            <w:shd w:val="clear" w:color="auto" w:fill="auto"/>
            <w:vAlign w:val="center"/>
          </w:tcPr>
          <w:p w14:paraId="20122238">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NY/T 2118</w:t>
            </w:r>
          </w:p>
        </w:tc>
        <w:tc>
          <w:tcPr>
            <w:tcW w:w="3012" w:type="pct"/>
            <w:shd w:val="clear" w:color="auto" w:fill="auto"/>
            <w:vAlign w:val="center"/>
          </w:tcPr>
          <w:p w14:paraId="72B78D8A">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蔬菜育苗基质标准</w:t>
            </w:r>
          </w:p>
        </w:tc>
      </w:tr>
      <w:tr w14:paraId="1B4F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pct"/>
            <w:vAlign w:val="center"/>
          </w:tcPr>
          <w:p w14:paraId="3E58004D">
            <w:pPr>
              <w:ind w:firstLine="198"/>
              <w:jc w:val="center"/>
              <w:rPr>
                <w:rFonts w:hint="eastAsia" w:eastAsia="仿宋_GB2312"/>
                <w:sz w:val="32"/>
                <w:szCs w:val="32"/>
                <w:lang w:eastAsia="zh-CN"/>
              </w:rPr>
            </w:pPr>
            <w:r>
              <w:rPr>
                <w:rFonts w:hint="eastAsia" w:eastAsia="仿宋_GB2312"/>
                <w:sz w:val="32"/>
                <w:szCs w:val="32"/>
                <w:lang w:val="en-US" w:eastAsia="zh-CN"/>
              </w:rPr>
              <w:t>6</w:t>
            </w:r>
          </w:p>
        </w:tc>
        <w:tc>
          <w:tcPr>
            <w:tcW w:w="1254" w:type="pct"/>
            <w:shd w:val="clear" w:color="auto" w:fill="auto"/>
            <w:vAlign w:val="center"/>
          </w:tcPr>
          <w:p w14:paraId="51106FB9">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NY/T 2119</w:t>
            </w:r>
          </w:p>
        </w:tc>
        <w:tc>
          <w:tcPr>
            <w:tcW w:w="3012" w:type="pct"/>
            <w:shd w:val="clear" w:color="auto" w:fill="auto"/>
            <w:vAlign w:val="center"/>
          </w:tcPr>
          <w:p w14:paraId="7E9AFFAB">
            <w:pPr>
              <w:ind w:firstLine="198" w:firstLineChars="0"/>
              <w:jc w:val="center"/>
              <w:rPr>
                <w:rFonts w:ascii="Times New Roman" w:hAnsi="Times New Roman" w:eastAsia="仿宋_GB2312" w:cs="Times New Roman"/>
                <w:kern w:val="2"/>
                <w:sz w:val="32"/>
                <w:szCs w:val="32"/>
                <w:lang w:val="en-US" w:eastAsia="zh-CN" w:bidi="ar-SA"/>
              </w:rPr>
            </w:pPr>
            <w:r>
              <w:rPr>
                <w:rFonts w:hint="eastAsia" w:eastAsia="仿宋_GB2312"/>
                <w:sz w:val="32"/>
                <w:szCs w:val="32"/>
              </w:rPr>
              <w:t>蔬菜穴盘育苗 通则</w:t>
            </w:r>
          </w:p>
        </w:tc>
      </w:tr>
      <w:tr w14:paraId="2CA6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pct"/>
            <w:vAlign w:val="center"/>
          </w:tcPr>
          <w:p w14:paraId="43279730">
            <w:pPr>
              <w:ind w:firstLine="198"/>
              <w:jc w:val="center"/>
              <w:rPr>
                <w:rFonts w:hint="eastAsia" w:eastAsia="仿宋_GB2312"/>
                <w:sz w:val="32"/>
                <w:szCs w:val="32"/>
                <w:lang w:val="en-US" w:eastAsia="zh-CN"/>
              </w:rPr>
            </w:pPr>
            <w:r>
              <w:rPr>
                <w:rFonts w:hint="eastAsia" w:eastAsia="仿宋_GB2312"/>
                <w:sz w:val="32"/>
                <w:szCs w:val="32"/>
                <w:lang w:val="en-US" w:eastAsia="zh-CN"/>
              </w:rPr>
              <w:t>7</w:t>
            </w:r>
          </w:p>
        </w:tc>
        <w:tc>
          <w:tcPr>
            <w:tcW w:w="1254" w:type="pct"/>
            <w:shd w:val="clear" w:color="auto" w:fill="auto"/>
            <w:vAlign w:val="center"/>
          </w:tcPr>
          <w:p w14:paraId="23B98A6F">
            <w:pPr>
              <w:ind w:firstLine="198" w:firstLineChars="0"/>
              <w:jc w:val="center"/>
              <w:rPr>
                <w:rFonts w:hint="eastAsia" w:ascii="Times New Roman" w:hAnsi="Times New Roman" w:eastAsia="仿宋_GB2312" w:cs="Times New Roman"/>
                <w:kern w:val="2"/>
                <w:sz w:val="32"/>
                <w:szCs w:val="32"/>
                <w:lang w:val="en-US" w:eastAsia="zh-CN" w:bidi="ar-SA"/>
              </w:rPr>
            </w:pPr>
            <w:r>
              <w:rPr>
                <w:rFonts w:hint="eastAsia" w:eastAsia="仿宋_GB2312"/>
                <w:sz w:val="32"/>
                <w:szCs w:val="32"/>
              </w:rPr>
              <w:t>NY/T 2312</w:t>
            </w:r>
          </w:p>
        </w:tc>
        <w:tc>
          <w:tcPr>
            <w:tcW w:w="3012" w:type="pct"/>
            <w:shd w:val="clear" w:color="auto" w:fill="auto"/>
            <w:vAlign w:val="center"/>
          </w:tcPr>
          <w:p w14:paraId="26DF99EE">
            <w:pPr>
              <w:ind w:firstLine="198" w:firstLineChars="0"/>
              <w:jc w:val="center"/>
              <w:rPr>
                <w:rFonts w:hint="eastAsia" w:ascii="Times New Roman" w:hAnsi="Times New Roman" w:eastAsia="仿宋_GB2312" w:cs="Times New Roman"/>
                <w:kern w:val="2"/>
                <w:sz w:val="32"/>
                <w:szCs w:val="32"/>
                <w:lang w:val="en-US" w:eastAsia="zh-CN" w:bidi="ar-SA"/>
              </w:rPr>
            </w:pPr>
            <w:r>
              <w:rPr>
                <w:rFonts w:hint="eastAsia" w:eastAsia="仿宋_GB2312"/>
                <w:sz w:val="32"/>
                <w:szCs w:val="32"/>
              </w:rPr>
              <w:t>蔬菜育苗技术规程 通则</w:t>
            </w:r>
          </w:p>
        </w:tc>
      </w:tr>
      <w:tr w14:paraId="023E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pct"/>
            <w:vAlign w:val="center"/>
          </w:tcPr>
          <w:p w14:paraId="589275DE">
            <w:pPr>
              <w:ind w:firstLine="198"/>
              <w:jc w:val="center"/>
              <w:rPr>
                <w:rFonts w:hint="default" w:eastAsia="仿宋_GB2312"/>
                <w:sz w:val="32"/>
                <w:szCs w:val="32"/>
                <w:lang w:val="en-US" w:eastAsia="zh-CN"/>
              </w:rPr>
            </w:pPr>
            <w:r>
              <w:rPr>
                <w:rFonts w:hint="eastAsia" w:eastAsia="仿宋_GB2312"/>
                <w:sz w:val="32"/>
                <w:szCs w:val="32"/>
                <w:lang w:val="en-US" w:eastAsia="zh-CN"/>
              </w:rPr>
              <w:t>8</w:t>
            </w:r>
          </w:p>
        </w:tc>
        <w:tc>
          <w:tcPr>
            <w:tcW w:w="1254" w:type="pct"/>
            <w:shd w:val="clear" w:color="auto" w:fill="auto"/>
            <w:vAlign w:val="center"/>
          </w:tcPr>
          <w:p w14:paraId="52571F24">
            <w:pPr>
              <w:ind w:firstLine="198" w:firstLineChars="0"/>
              <w:jc w:val="center"/>
              <w:rPr>
                <w:rFonts w:hint="eastAsia" w:ascii="Times New Roman" w:hAnsi="Times New Roman" w:eastAsia="仿宋_GB2312" w:cs="Times New Roman"/>
                <w:kern w:val="2"/>
                <w:sz w:val="32"/>
                <w:szCs w:val="32"/>
                <w:lang w:val="en-US" w:eastAsia="zh-CN" w:bidi="ar-SA"/>
              </w:rPr>
            </w:pPr>
            <w:r>
              <w:rPr>
                <w:rFonts w:hint="eastAsia" w:eastAsia="仿宋_GB2312"/>
                <w:sz w:val="32"/>
                <w:szCs w:val="32"/>
              </w:rPr>
              <w:t>NY/T 2442</w:t>
            </w:r>
          </w:p>
        </w:tc>
        <w:tc>
          <w:tcPr>
            <w:tcW w:w="3012" w:type="pct"/>
            <w:shd w:val="clear" w:color="auto" w:fill="auto"/>
            <w:vAlign w:val="center"/>
          </w:tcPr>
          <w:p w14:paraId="73D5F6A2">
            <w:pPr>
              <w:ind w:firstLine="198" w:firstLineChars="0"/>
              <w:jc w:val="center"/>
              <w:rPr>
                <w:rFonts w:hint="eastAsia" w:ascii="Times New Roman" w:hAnsi="Times New Roman" w:eastAsia="仿宋_GB2312" w:cs="Times New Roman"/>
                <w:kern w:val="2"/>
                <w:sz w:val="32"/>
                <w:szCs w:val="32"/>
                <w:lang w:val="en-US" w:eastAsia="zh-CN" w:bidi="ar-SA"/>
              </w:rPr>
            </w:pPr>
            <w:r>
              <w:rPr>
                <w:rFonts w:hint="eastAsia" w:eastAsia="仿宋_GB2312"/>
                <w:sz w:val="32"/>
                <w:szCs w:val="32"/>
              </w:rPr>
              <w:t>蔬菜集约化育苗场地建设标准</w:t>
            </w:r>
          </w:p>
        </w:tc>
      </w:tr>
    </w:tbl>
    <w:p w14:paraId="65D1F43D">
      <w:pPr>
        <w:spacing w:line="360" w:lineRule="auto"/>
        <w:ind w:firstLine="640" w:firstLineChars="200"/>
        <w:rPr>
          <w:rFonts w:eastAsia="仿宋_GB2312"/>
          <w:sz w:val="32"/>
          <w:szCs w:val="32"/>
        </w:rPr>
      </w:pPr>
      <w:r>
        <w:rPr>
          <w:rFonts w:hint="eastAsia" w:eastAsia="仿宋_GB2312"/>
          <w:sz w:val="32"/>
          <w:szCs w:val="32"/>
        </w:rPr>
        <w:t>4.本标准与现行</w:t>
      </w:r>
      <w:r>
        <w:rPr>
          <w:rFonts w:hint="eastAsia" w:eastAsia="仿宋_GB2312"/>
          <w:sz w:val="32"/>
          <w:szCs w:val="32"/>
          <w:lang w:eastAsia="zh-CN"/>
        </w:rPr>
        <w:t>法律法规</w:t>
      </w:r>
      <w:r>
        <w:rPr>
          <w:rFonts w:hint="eastAsia" w:eastAsia="仿宋_GB2312"/>
          <w:sz w:val="32"/>
          <w:szCs w:val="32"/>
        </w:rPr>
        <w:t>和强</w:t>
      </w:r>
      <w:r>
        <w:rPr>
          <w:rFonts w:hint="eastAsia" w:eastAsia="仿宋_GB2312"/>
          <w:sz w:val="32"/>
          <w:szCs w:val="32"/>
          <w:lang w:eastAsia="zh-CN"/>
        </w:rPr>
        <w:t>制标</w:t>
      </w:r>
      <w:r>
        <w:rPr>
          <w:rFonts w:hint="eastAsia" w:eastAsia="仿宋_GB2312"/>
          <w:sz w:val="32"/>
          <w:szCs w:val="32"/>
        </w:rPr>
        <w:t>准没有冲突。</w:t>
      </w:r>
    </w:p>
    <w:p w14:paraId="4293C42B">
      <w:pPr>
        <w:widowControl/>
        <w:autoSpaceDE w:val="0"/>
        <w:autoSpaceDN w:val="0"/>
        <w:spacing w:before="156" w:beforeLines="50" w:after="156" w:afterLines="50"/>
        <w:rPr>
          <w:rFonts w:eastAsia="黑体"/>
          <w:b/>
          <w:sz w:val="32"/>
          <w:szCs w:val="32"/>
        </w:rPr>
      </w:pPr>
      <w:r>
        <w:rPr>
          <w:rFonts w:hint="eastAsia" w:eastAsia="黑体"/>
          <w:b/>
          <w:sz w:val="32"/>
          <w:szCs w:val="32"/>
        </w:rPr>
        <w:t>五、标准主要条款的说明</w:t>
      </w:r>
    </w:p>
    <w:bookmarkEnd w:id="0"/>
    <w:bookmarkEnd w:id="1"/>
    <w:p w14:paraId="16D65427">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w:t>
      </w:r>
      <w:r>
        <w:rPr>
          <w:rStyle w:val="8"/>
          <w:rFonts w:hint="eastAsia" w:eastAsia="方正仿宋_GB2312" w:cstheme="minorBidi"/>
          <w:b/>
          <w:sz w:val="32"/>
          <w:szCs w:val="32"/>
        </w:rPr>
        <w:t>功能型育苗基质对生菜育苗的影响</w:t>
      </w:r>
    </w:p>
    <w:p w14:paraId="7F63047F">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1.1</w:t>
      </w:r>
      <w:r>
        <w:rPr>
          <w:rStyle w:val="8"/>
          <w:rFonts w:hint="eastAsia" w:eastAsia="方正仿宋_GB2312" w:cstheme="minorBidi"/>
          <w:b/>
          <w:sz w:val="32"/>
          <w:szCs w:val="32"/>
        </w:rPr>
        <w:t>研究目的</w:t>
      </w:r>
    </w:p>
    <w:p w14:paraId="0F72F3D1">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本研究旨在通过对比分析添加丛枝菌根真菌的生物育苗基质（T1）、含天然矿物质与腐殖酸的有机肥专用基质（T2）以及两种常规基质（CK1与CK2）对‘奶生1号’生菜幼苗生长的影响。系统评估不同基质处理下生菜幼苗的生长指标（株高、茎粗、叶片数等）、根系形态（总根长、根系表面积等）及生理特性（可溶性蛋白、抗氧化酶活性等）的差异，以期筛选出能显著促进生菜健壮生长、增强抗逆生理特性的最优育苗基质配方，为生菜集约化、高品质育苗提供可靠的理论依据与技术支撑。</w:t>
      </w:r>
    </w:p>
    <w:p w14:paraId="1E299220">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1.2</w:t>
      </w:r>
      <w:r>
        <w:rPr>
          <w:rStyle w:val="8"/>
          <w:rFonts w:hint="eastAsia" w:eastAsia="方正仿宋_GB2312" w:cstheme="minorBidi"/>
          <w:b/>
          <w:sz w:val="32"/>
          <w:szCs w:val="32"/>
        </w:rPr>
        <w:t>材料与方法</w:t>
      </w:r>
    </w:p>
    <w:p w14:paraId="406D1D5D">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1.2.1</w:t>
      </w:r>
      <w:r>
        <w:rPr>
          <w:rStyle w:val="8"/>
          <w:rFonts w:hint="eastAsia" w:eastAsia="方正仿宋_GB2312" w:cstheme="minorBidi"/>
          <w:b/>
          <w:sz w:val="32"/>
          <w:szCs w:val="32"/>
        </w:rPr>
        <w:t>试验材料</w:t>
      </w:r>
    </w:p>
    <w:p w14:paraId="401AE83C">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本研究所用‘奶生1号’生菜为青海主栽叶用莴苣品种之一，其生长发育规律具有代表性，研究结论适用于叶用莴苣集约化育苗。草炭、珍珠岩、蛭石均为青海大学园艺实践基地统一购买。采用72孔黑色塑料育苗穴盘进行育苗。试验处理组T1所使用的菌根育苗基质为淮安柴米河农业科技有限公司的生物育苗基质，其中添加具有抗病和促生功能的丛枝菌根真菌。试验处理组T2所使用的育苗基质为江苏兴农科技有限公司的有机肥育苗专用基质，该基质成分中还包括椰壳粉基料、沼泥、碳化稻壳及经过发酵处理的酒精沼渣作为天然矿物质和腐殖酸有机肥。</w:t>
      </w:r>
    </w:p>
    <w:p w14:paraId="2EEDD364">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1.2.2</w:t>
      </w:r>
      <w:r>
        <w:rPr>
          <w:rStyle w:val="8"/>
          <w:rFonts w:hint="eastAsia" w:eastAsia="方正仿宋_GB2312" w:cstheme="minorBidi"/>
          <w:b/>
          <w:sz w:val="32"/>
          <w:szCs w:val="32"/>
        </w:rPr>
        <w:t>试验方法</w:t>
      </w:r>
    </w:p>
    <w:p w14:paraId="283D6FE6">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该试验设置4个处理，试验中CK1以体积比草炭</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蛭石＝2:1作为对照组；CK2以体积比草炭</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蛭石：珍珠岩＝2:1:1作为对照组；试验处理组T1所使用的菌根育苗基质为淮安柴米河农业科技有限公司的生物育苗基质；试验处理组T2所使用的育苗基质为江苏兴农科技有限公司的有机肥育苗专用基质。每个处理重复三次，共种植12个穴盘。</w:t>
      </w:r>
    </w:p>
    <w:p w14:paraId="230849F1">
      <w:pPr>
        <w:spacing w:before="156" w:beforeLines="50" w:after="156" w:afterLines="50"/>
        <w:ind w:firstLine="640" w:firstLineChars="200"/>
        <w:outlineLvl w:val="2"/>
        <w:rPr>
          <w:rStyle w:val="8"/>
          <w:rFonts w:hint="default" w:ascii="Times New Roman" w:hAnsi="Times New Roman" w:eastAsia="方正仿宋_GB2312" w:cs="Times New Roman"/>
          <w:b/>
          <w:sz w:val="32"/>
          <w:szCs w:val="32"/>
        </w:rPr>
      </w:pPr>
      <w:r>
        <w:rPr>
          <w:rStyle w:val="8"/>
          <w:rFonts w:hint="default" w:ascii="Times New Roman" w:hAnsi="Times New Roman" w:eastAsia="方正仿宋_GB2312" w:cs="Times New Roman"/>
          <w:b w:val="0"/>
          <w:bCs/>
          <w:sz w:val="32"/>
          <w:szCs w:val="32"/>
        </w:rPr>
        <w:t>将蔬菜种子浸泡后置于28℃的恒温箱中催芽。穴盘及其他用具在使用前用清水冲洗干净，晾干。选取饱满、发芽整齐一致的种子播种于穴盘中，育苗期间根据基质的湿润程度和幼苗生长状况，不定期用自来水补充基质水分，白天温度控制在25-28℃，夜晚温度控制在15～18℃，湿度为</w:t>
      </w:r>
      <w:r>
        <w:rPr>
          <w:rStyle w:val="8"/>
          <w:rFonts w:hint="eastAsia" w:eastAsia="方正仿宋_GB2312" w:cs="Times New Roman"/>
          <w:b w:val="0"/>
          <w:bCs/>
          <w:sz w:val="32"/>
          <w:szCs w:val="32"/>
          <w:lang w:eastAsia="zh-CN"/>
        </w:rPr>
        <w:t>60%～80%</w:t>
      </w:r>
      <w:r>
        <w:rPr>
          <w:rStyle w:val="8"/>
          <w:rFonts w:hint="default" w:ascii="Times New Roman" w:hAnsi="Times New Roman" w:eastAsia="方正仿宋_GB2312" w:cs="Times New Roman"/>
          <w:b w:val="0"/>
          <w:bCs/>
          <w:sz w:val="32"/>
          <w:szCs w:val="32"/>
        </w:rPr>
        <w:t>。试验在青海大学园艺所实践基地的温室大棚内进行。播种完成后，将穴盘置于光照良好的温室中以减少其他微生物通过风雨的污染，育苗期间不施用任何肥料。大约4周后选取长势一致、生长健壮、无机械损伤的生菜作为试验用植株。通过测定上述蔬菜的生长指标、根系指标、生理指标，验证含有功能型蔬菜生物育苗基质对生菜的育苗效果。</w:t>
      </w:r>
    </w:p>
    <w:p w14:paraId="61B2817C">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1.2.3</w:t>
      </w:r>
      <w:r>
        <w:rPr>
          <w:rStyle w:val="8"/>
          <w:rFonts w:hint="eastAsia" w:eastAsia="方正仿宋_GB2312" w:cstheme="minorBidi"/>
          <w:b/>
          <w:sz w:val="32"/>
          <w:szCs w:val="32"/>
        </w:rPr>
        <w:t>测定项目及指标</w:t>
      </w:r>
    </w:p>
    <w:p w14:paraId="2A5CFE45">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w:t>
      </w:r>
      <w:r>
        <w:rPr>
          <w:rStyle w:val="8"/>
          <w:rFonts w:hint="eastAsia" w:eastAsia="方正仿宋_GB2312" w:cstheme="minorBidi"/>
          <w:b/>
          <w:sz w:val="32"/>
          <w:szCs w:val="32"/>
        </w:rPr>
        <w:t>生菜幼苗生长指标的测定</w:t>
      </w:r>
    </w:p>
    <w:p w14:paraId="7ECE8C17">
      <w:pPr>
        <w:spacing w:before="156" w:beforeLines="50" w:after="156" w:afterLines="50"/>
        <w:ind w:firstLine="640" w:firstLineChars="200"/>
        <w:outlineLvl w:val="2"/>
        <w:rPr>
          <w:rStyle w:val="8"/>
          <w:rFonts w:hint="default" w:ascii="Times New Roman" w:hAnsi="Times New Roman" w:eastAsia="方正仿宋_GB2312" w:cs="Times New Roman"/>
          <w:b w:val="0"/>
          <w:bCs/>
          <w:sz w:val="32"/>
          <w:szCs w:val="32"/>
        </w:rPr>
      </w:pPr>
      <w:r>
        <w:rPr>
          <w:rStyle w:val="8"/>
          <w:rFonts w:hint="default" w:ascii="Times New Roman" w:hAnsi="Times New Roman" w:eastAsia="方正仿宋_GB2312" w:cs="Times New Roman"/>
          <w:b w:val="0"/>
          <w:bCs/>
          <w:sz w:val="32"/>
          <w:szCs w:val="32"/>
        </w:rPr>
        <w:t>每个处理随机取样</w:t>
      </w:r>
      <w:r>
        <w:rPr>
          <w:rStyle w:val="8"/>
          <w:rFonts w:hint="eastAsia" w:eastAsia="方正仿宋_GB2312" w:cs="Times New Roman"/>
          <w:b w:val="0"/>
          <w:bCs/>
          <w:sz w:val="32"/>
          <w:szCs w:val="32"/>
          <w:lang w:val="en-US" w:eastAsia="zh-CN"/>
        </w:rPr>
        <w:t>6</w:t>
      </w:r>
      <w:r>
        <w:rPr>
          <w:rStyle w:val="8"/>
          <w:rFonts w:hint="default" w:ascii="Times New Roman" w:hAnsi="Times New Roman" w:eastAsia="方正仿宋_GB2312" w:cs="Times New Roman"/>
          <w:b w:val="0"/>
          <w:bCs/>
          <w:sz w:val="32"/>
          <w:szCs w:val="32"/>
        </w:rPr>
        <w:t>株，洗净直尺测量幼苗子叶到生长点的长度记为株</w:t>
      </w:r>
      <w:r>
        <w:rPr>
          <w:rStyle w:val="8"/>
          <w:rFonts w:hint="eastAsia" w:eastAsia="方正仿宋_GB2312" w:cs="Times New Roman"/>
          <w:b w:val="0"/>
          <w:bCs/>
          <w:sz w:val="32"/>
          <w:szCs w:val="32"/>
          <w:lang w:eastAsia="zh-CN"/>
        </w:rPr>
        <w:t>高</w:t>
      </w:r>
      <w:r>
        <w:rPr>
          <w:rStyle w:val="8"/>
          <w:rFonts w:hint="default" w:ascii="Times New Roman" w:hAnsi="Times New Roman" w:eastAsia="方正仿宋_GB2312" w:cs="Times New Roman"/>
          <w:b w:val="0"/>
          <w:bCs/>
          <w:sz w:val="32"/>
          <w:szCs w:val="32"/>
        </w:rPr>
        <w:t>；游标卡尺测量与子叶展开方向平行的子叶节的茎直径记为茎粗；叶片数、叶长、叶宽的测定；分别选取蔬菜幼苗地上部和地下部，用清水将表面杂物冲洗干净，再用去离子水进一步淋洗，用吸水纸将表面水分吸干，分别称鲜重，105℃杀青15min，75℃烘干至恒重，再称干重。所有指标均重复测定</w:t>
      </w:r>
      <w:r>
        <w:rPr>
          <w:rStyle w:val="8"/>
          <w:rFonts w:hint="eastAsia" w:eastAsia="方正仿宋_GB2312" w:cs="Times New Roman"/>
          <w:b w:val="0"/>
          <w:bCs/>
          <w:sz w:val="32"/>
          <w:szCs w:val="32"/>
          <w:lang w:val="en-US" w:eastAsia="zh-CN"/>
        </w:rPr>
        <w:t>3</w:t>
      </w:r>
      <w:r>
        <w:rPr>
          <w:rStyle w:val="8"/>
          <w:rFonts w:hint="default" w:ascii="Times New Roman" w:hAnsi="Times New Roman" w:eastAsia="方正仿宋_GB2312" w:cs="Times New Roman"/>
          <w:b w:val="0"/>
          <w:bCs/>
          <w:sz w:val="32"/>
          <w:szCs w:val="32"/>
        </w:rPr>
        <w:t>次，取其平均值。并计算根冠比、壮苗指数、干物质含量等指标。</w:t>
      </w:r>
    </w:p>
    <w:p w14:paraId="7A4EAC7D">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eastAsia="zh-CN"/>
        </w:rPr>
        <w:t>（</w:t>
      </w:r>
      <w:r>
        <w:rPr>
          <w:rStyle w:val="8"/>
          <w:rFonts w:hint="eastAsia" w:eastAsia="方正仿宋_GB2312" w:cstheme="minorBidi"/>
          <w:b/>
          <w:sz w:val="32"/>
          <w:szCs w:val="32"/>
          <w:lang w:val="en-US" w:eastAsia="zh-CN"/>
        </w:rPr>
        <w:t>2</w:t>
      </w:r>
      <w:r>
        <w:rPr>
          <w:rStyle w:val="8"/>
          <w:rFonts w:hint="eastAsia" w:eastAsia="方正仿宋_GB2312" w:cstheme="minorBidi"/>
          <w:b/>
          <w:sz w:val="32"/>
          <w:szCs w:val="32"/>
          <w:lang w:eastAsia="zh-CN"/>
        </w:rPr>
        <w:t>）</w:t>
      </w:r>
      <w:r>
        <w:rPr>
          <w:rStyle w:val="8"/>
          <w:rFonts w:hint="eastAsia" w:eastAsia="方正仿宋_GB2312" w:cstheme="minorBidi"/>
          <w:b/>
          <w:sz w:val="32"/>
          <w:szCs w:val="32"/>
        </w:rPr>
        <w:t>生菜幼苗根系指标的测定</w:t>
      </w:r>
    </w:p>
    <w:p w14:paraId="618045D8">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用流水洗净各新鲜蔬菜幼苗根部残留基质后</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利用根系分析系统分别测定总根长</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cm</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、根系表面积</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cm</w:t>
      </w:r>
      <w:r>
        <w:rPr>
          <w:rStyle w:val="8"/>
          <w:rFonts w:hint="eastAsia" w:eastAsia="方正仿宋_GB2312" w:cstheme="minorBidi"/>
          <w:b w:val="0"/>
          <w:bCs/>
          <w:sz w:val="32"/>
          <w:szCs w:val="32"/>
          <w:vertAlign w:val="superscript"/>
        </w:rPr>
        <w:t>2</w:t>
      </w:r>
      <w:r>
        <w:rPr>
          <w:rStyle w:val="8"/>
          <w:rFonts w:hint="eastAsia" w:eastAsia="方正仿宋_GB2312" w:cstheme="minorBidi"/>
          <w:b w:val="0"/>
          <w:bCs/>
          <w:sz w:val="32"/>
          <w:szCs w:val="32"/>
          <w:vertAlign w:val="superscript"/>
          <w:lang w:eastAsia="zh-CN"/>
        </w:rPr>
        <w:t>）</w:t>
      </w:r>
      <w:r>
        <w:rPr>
          <w:rStyle w:val="8"/>
          <w:rFonts w:hint="eastAsia" w:eastAsia="方正仿宋_GB2312" w:cstheme="minorBidi"/>
          <w:b w:val="0"/>
          <w:bCs/>
          <w:sz w:val="32"/>
          <w:szCs w:val="32"/>
        </w:rPr>
        <w:t>、根系平均直径</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mm</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、根体积</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cm</w:t>
      </w:r>
      <w:r>
        <w:rPr>
          <w:rStyle w:val="8"/>
          <w:rFonts w:hint="eastAsia" w:eastAsia="方正仿宋_GB2312" w:cstheme="minorBidi"/>
          <w:b w:val="0"/>
          <w:bCs/>
          <w:sz w:val="32"/>
          <w:szCs w:val="32"/>
          <w:vertAlign w:val="superscript"/>
        </w:rPr>
        <w:t>3</w:t>
      </w:r>
      <w:r>
        <w:rPr>
          <w:rStyle w:val="8"/>
          <w:rFonts w:hint="eastAsia" w:eastAsia="方正仿宋_GB2312" w:cstheme="minorBidi"/>
          <w:b w:val="0"/>
          <w:bCs/>
          <w:sz w:val="32"/>
          <w:szCs w:val="32"/>
          <w:vertAlign w:val="superscript"/>
          <w:lang w:eastAsia="zh-CN"/>
        </w:rPr>
        <w:t>）</w:t>
      </w:r>
      <w:r>
        <w:rPr>
          <w:rStyle w:val="8"/>
          <w:rFonts w:hint="eastAsia" w:eastAsia="方正仿宋_GB2312" w:cstheme="minorBidi"/>
          <w:b w:val="0"/>
          <w:bCs/>
          <w:sz w:val="32"/>
          <w:szCs w:val="32"/>
        </w:rPr>
        <w:t>、根尖数</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个</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和根系投影面积</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cm</w:t>
      </w:r>
      <w:r>
        <w:rPr>
          <w:rStyle w:val="8"/>
          <w:rFonts w:hint="eastAsia" w:eastAsia="方正仿宋_GB2312" w:cstheme="minorBidi"/>
          <w:b w:val="0"/>
          <w:bCs/>
          <w:sz w:val="32"/>
          <w:szCs w:val="32"/>
          <w:vertAlign w:val="superscript"/>
        </w:rPr>
        <w:t>2</w:t>
      </w:r>
      <w:r>
        <w:rPr>
          <w:rStyle w:val="8"/>
          <w:rFonts w:hint="eastAsia" w:eastAsia="方正仿宋_GB2312" w:cstheme="minorBidi"/>
          <w:b w:val="0"/>
          <w:bCs/>
          <w:sz w:val="32"/>
          <w:szCs w:val="32"/>
          <w:vertAlign w:val="superscript"/>
          <w:lang w:eastAsia="zh-CN"/>
        </w:rPr>
        <w:t>）</w:t>
      </w:r>
      <w:r>
        <w:rPr>
          <w:rStyle w:val="8"/>
          <w:rFonts w:hint="eastAsia" w:eastAsia="方正仿宋_GB2312" w:cstheme="minorBidi"/>
          <w:b w:val="0"/>
          <w:bCs/>
          <w:sz w:val="32"/>
          <w:szCs w:val="32"/>
        </w:rPr>
        <w:t>等根系指标。</w:t>
      </w:r>
    </w:p>
    <w:p w14:paraId="47CC7EF9">
      <w:pPr>
        <w:spacing w:before="156" w:beforeLines="50" w:after="156" w:afterLines="50"/>
        <w:outlineLvl w:val="2"/>
        <w:rPr>
          <w:rStyle w:val="8"/>
          <w:rFonts w:hint="eastAsia" w:eastAsia="方正仿宋_GB2312" w:cstheme="minorBidi"/>
          <w:b/>
          <w:bCs w:val="0"/>
          <w:sz w:val="32"/>
          <w:szCs w:val="32"/>
        </w:rPr>
      </w:pPr>
      <w:r>
        <w:rPr>
          <w:rStyle w:val="8"/>
          <w:rFonts w:hint="eastAsia" w:eastAsia="方正仿宋_GB2312" w:cstheme="minorBidi"/>
          <w:b/>
          <w:bCs w:val="0"/>
          <w:sz w:val="32"/>
          <w:szCs w:val="32"/>
          <w:lang w:eastAsia="zh-CN"/>
        </w:rPr>
        <w:t>（</w:t>
      </w:r>
      <w:r>
        <w:rPr>
          <w:rStyle w:val="8"/>
          <w:rFonts w:hint="eastAsia" w:eastAsia="方正仿宋_GB2312" w:cstheme="minorBidi"/>
          <w:b/>
          <w:bCs w:val="0"/>
          <w:sz w:val="32"/>
          <w:szCs w:val="32"/>
          <w:lang w:val="en-US" w:eastAsia="zh-CN"/>
        </w:rPr>
        <w:t>3</w:t>
      </w:r>
      <w:r>
        <w:rPr>
          <w:rStyle w:val="8"/>
          <w:rFonts w:hint="eastAsia" w:eastAsia="方正仿宋_GB2312" w:cstheme="minorBidi"/>
          <w:b/>
          <w:bCs w:val="0"/>
          <w:sz w:val="32"/>
          <w:szCs w:val="32"/>
          <w:lang w:eastAsia="zh-CN"/>
        </w:rPr>
        <w:t>）</w:t>
      </w:r>
      <w:r>
        <w:rPr>
          <w:rStyle w:val="8"/>
          <w:rFonts w:hint="eastAsia" w:eastAsia="方正仿宋_GB2312" w:cstheme="minorBidi"/>
          <w:b/>
          <w:bCs w:val="0"/>
          <w:sz w:val="32"/>
          <w:szCs w:val="32"/>
        </w:rPr>
        <w:t>生菜幼苗生理指标的测定</w:t>
      </w:r>
    </w:p>
    <w:p w14:paraId="742A7B29">
      <w:pPr>
        <w:spacing w:before="156" w:beforeLines="50" w:after="156" w:afterLines="50"/>
        <w:ind w:firstLine="640" w:firstLineChars="200"/>
        <w:outlineLvl w:val="2"/>
        <w:rPr>
          <w:rStyle w:val="8"/>
          <w:rFonts w:hint="eastAsia" w:eastAsia="方正仿宋_GB2312" w:cstheme="minorBidi"/>
          <w:b/>
          <w:sz w:val="32"/>
          <w:szCs w:val="32"/>
        </w:rPr>
      </w:pPr>
      <w:r>
        <w:rPr>
          <w:rStyle w:val="8"/>
          <w:rFonts w:hint="eastAsia" w:eastAsia="方正仿宋_GB2312" w:cstheme="minorBidi"/>
          <w:b w:val="0"/>
          <w:bCs/>
          <w:sz w:val="32"/>
          <w:szCs w:val="32"/>
        </w:rPr>
        <w:t>在育苗周期结束后，采用五点取样法对各个处理组的辣椒幼苗进行取样，每个处理各取5株。分别进行以下生理指标的测定：参考林植芳等</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1988</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的方法测定过氧化氢</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H</w:t>
      </w:r>
      <w:r>
        <w:rPr>
          <w:rStyle w:val="8"/>
          <w:rFonts w:hint="eastAsia" w:eastAsia="方正仿宋_GB2312" w:cstheme="minorBidi"/>
          <w:b w:val="0"/>
          <w:bCs/>
          <w:sz w:val="32"/>
          <w:szCs w:val="32"/>
          <w:vertAlign w:val="subscript"/>
        </w:rPr>
        <w:t>2</w:t>
      </w:r>
      <w:r>
        <w:rPr>
          <w:rStyle w:val="8"/>
          <w:rFonts w:hint="eastAsia" w:eastAsia="方正仿宋_GB2312" w:cstheme="minorBidi"/>
          <w:b w:val="0"/>
          <w:bCs/>
          <w:sz w:val="32"/>
          <w:szCs w:val="32"/>
        </w:rPr>
        <w:t>O</w:t>
      </w:r>
      <w:r>
        <w:rPr>
          <w:rStyle w:val="8"/>
          <w:rFonts w:hint="eastAsia" w:eastAsia="方正仿宋_GB2312" w:cstheme="minorBidi"/>
          <w:b w:val="0"/>
          <w:bCs/>
          <w:sz w:val="32"/>
          <w:szCs w:val="32"/>
          <w:vertAlign w:val="subscript"/>
        </w:rPr>
        <w:t>2</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含量。参考李合生</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2000</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的方法测定叶片的可溶性糖、叶绿素、可溶性蛋白、游离氨基酸、丙二醛</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MDA</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含量及超氧化物歧化酶</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SOD</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、过氧化物酶</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POD</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活性</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过氧化氢酶</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CAT</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 xml:space="preserve">活性的测定参照Aebi </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1984</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的实验方法</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抗坏血酸过氧化物酶</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APX</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活性的测定参照Zhu等</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2007</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的实验方法</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谷胱甘肽还原酶</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GR</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活性测定参照Wheeler等</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1990</w:t>
      </w:r>
      <w:r>
        <w:rPr>
          <w:rStyle w:val="8"/>
          <w:rFonts w:hint="eastAsia" w:eastAsia="方正仿宋_GB2312" w:cstheme="minorBidi"/>
          <w:b w:val="0"/>
          <w:bCs/>
          <w:sz w:val="32"/>
          <w:szCs w:val="32"/>
          <w:lang w:eastAsia="zh-CN"/>
        </w:rPr>
        <w:t>）</w:t>
      </w:r>
      <w:r>
        <w:rPr>
          <w:rStyle w:val="8"/>
          <w:rFonts w:hint="eastAsia" w:eastAsia="方正仿宋_GB2312" w:cstheme="minorBidi"/>
          <w:b w:val="0"/>
          <w:bCs/>
          <w:sz w:val="32"/>
          <w:szCs w:val="32"/>
        </w:rPr>
        <w:t>的实验方法。</w:t>
      </w:r>
    </w:p>
    <w:p w14:paraId="5AA533D6">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1.3</w:t>
      </w:r>
      <w:r>
        <w:rPr>
          <w:rStyle w:val="8"/>
          <w:rFonts w:hint="eastAsia" w:eastAsia="方正仿宋_GB2312" w:cstheme="minorBidi"/>
          <w:b/>
          <w:sz w:val="32"/>
          <w:szCs w:val="32"/>
        </w:rPr>
        <w:t>结果与分析</w:t>
      </w:r>
    </w:p>
    <w:p w14:paraId="6692E1EC">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1.3.1</w:t>
      </w:r>
      <w:r>
        <w:rPr>
          <w:rStyle w:val="8"/>
          <w:rFonts w:hint="eastAsia" w:eastAsia="方正仿宋_GB2312" w:cstheme="minorBidi"/>
          <w:b/>
          <w:sz w:val="32"/>
          <w:szCs w:val="32"/>
        </w:rPr>
        <w:t>生菜幼苗生理指标</w:t>
      </w:r>
    </w:p>
    <w:p w14:paraId="3B43A3D4">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通过对生菜生理指标的测定，结果显示不同处理的基质对生菜幼苗的可溶性蛋白含量、可溶性总糖含量、脯氨酸含量、游离氨基酸含量、抗氧化酶活性和过氧化氢含量均有显著影响。其中生菜幼苗可溶性蛋白含量和可溶性总糖含量T1较CK1、CK2和T2分别增长了15.31%、12.83%和14.55%以及9.85%、3.79%和3.91%。其中生菜幼苗脯氨酸和游离氨基酸含量T1较CK1、CK2和T2分别增长了96.58%、36.50%和24.27%以及11.85%、6.84%和1.11%。不同基质处理对生菜幼苗APX、CAT活性的影响中，T1较CK1、CK2和T2活性分别增长了356.25%、27.119%和119.00%以及302.70%、223.91%和9.56%。不同基质处理对生菜幼苗过氧化氢含量的影响中T1较CK1、CK2和T2分别降低了0.30%、0.47%和0.10%。</w:t>
      </w:r>
    </w:p>
    <w:p w14:paraId="57BBE531">
      <w:pPr>
        <w:spacing w:before="156" w:beforeLines="50" w:after="156" w:afterLines="50"/>
        <w:outlineLvl w:val="2"/>
        <w:rPr>
          <w:rStyle w:val="8"/>
          <w:rFonts w:hint="eastAsia" w:eastAsia="方正仿宋_GB2312" w:cstheme="minorBidi"/>
          <w:b/>
          <w:sz w:val="32"/>
          <w:szCs w:val="32"/>
        </w:rPr>
      </w:pPr>
      <w:r>
        <w:rPr>
          <w:rFonts w:ascii="Times New Roman" w:hAnsi="Times New Roman" w:eastAsia="宋体"/>
        </w:rPr>
        <w:drawing>
          <wp:inline distT="0" distB="0" distL="114300" distR="114300">
            <wp:extent cx="2609850" cy="1973580"/>
            <wp:effectExtent l="0" t="0" r="6350" b="7620"/>
            <wp:docPr id="1" name="图片 1" descr="图表, 条形图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 条形图描述已自动生成"/>
                    <pic:cNvPicPr>
                      <a:picLocks noChangeAspect="1"/>
                    </pic:cNvPicPr>
                  </pic:nvPicPr>
                  <pic:blipFill>
                    <a:blip r:embed="rId4"/>
                    <a:stretch>
                      <a:fillRect/>
                    </a:stretch>
                  </pic:blipFill>
                  <pic:spPr>
                    <a:xfrm>
                      <a:off x="0" y="0"/>
                      <a:ext cx="2609850" cy="1973580"/>
                    </a:xfrm>
                    <a:prstGeom prst="rect">
                      <a:avLst/>
                    </a:prstGeom>
                    <a:noFill/>
                    <a:ln>
                      <a:noFill/>
                    </a:ln>
                  </pic:spPr>
                </pic:pic>
              </a:graphicData>
            </a:graphic>
          </wp:inline>
        </w:drawing>
      </w:r>
      <w:r>
        <w:rPr>
          <w:rFonts w:ascii="Times New Roman" w:hAnsi="Times New Roman" w:eastAsia="宋体"/>
        </w:rPr>
        <w:drawing>
          <wp:inline distT="0" distB="0" distL="114300" distR="114300">
            <wp:extent cx="2609850" cy="1972945"/>
            <wp:effectExtent l="0" t="0" r="6350" b="8255"/>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a:stretch>
                      <a:fillRect/>
                    </a:stretch>
                  </pic:blipFill>
                  <pic:spPr>
                    <a:xfrm>
                      <a:off x="0" y="0"/>
                      <a:ext cx="2609850" cy="1972945"/>
                    </a:xfrm>
                    <a:prstGeom prst="rect">
                      <a:avLst/>
                    </a:prstGeom>
                    <a:noFill/>
                    <a:ln>
                      <a:noFill/>
                    </a:ln>
                  </pic:spPr>
                </pic:pic>
              </a:graphicData>
            </a:graphic>
          </wp:inline>
        </w:drawing>
      </w:r>
    </w:p>
    <w:p w14:paraId="100AA236">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1</w:t>
      </w:r>
      <w:r>
        <w:rPr>
          <w:rStyle w:val="8"/>
          <w:rFonts w:hint="eastAsia" w:ascii="黑体" w:hAnsi="黑体" w:eastAsia="黑体" w:cs="黑体"/>
          <w:b w:val="0"/>
          <w:bCs/>
          <w:sz w:val="21"/>
          <w:szCs w:val="21"/>
        </w:rPr>
        <w:t xml:space="preserve"> 不同基质处理对生菜幼苗可溶性蛋白含量和可溶性总糖含量的影响</w:t>
      </w:r>
    </w:p>
    <w:p w14:paraId="44B86DAF">
      <w:pPr>
        <w:spacing w:before="156" w:beforeLines="50" w:after="156" w:afterLines="50"/>
        <w:outlineLvl w:val="2"/>
        <w:rPr>
          <w:rStyle w:val="8"/>
          <w:rFonts w:hint="eastAsia" w:eastAsia="方正仿宋_GB2312" w:cstheme="minorBidi"/>
          <w:b/>
          <w:sz w:val="32"/>
          <w:szCs w:val="32"/>
        </w:rPr>
      </w:pPr>
      <w:r>
        <w:rPr>
          <w:rFonts w:ascii="Times New Roman" w:hAnsi="Times New Roman" w:eastAsia="宋体"/>
        </w:rPr>
        <w:drawing>
          <wp:inline distT="0" distB="0" distL="114300" distR="114300">
            <wp:extent cx="2609850" cy="2190750"/>
            <wp:effectExtent l="0" t="0" r="6350" b="6350"/>
            <wp:docPr id="3" name="图片 3" descr="图表, 条形图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条形图描述已自动生成"/>
                    <pic:cNvPicPr>
                      <a:picLocks noChangeAspect="1"/>
                    </pic:cNvPicPr>
                  </pic:nvPicPr>
                  <pic:blipFill>
                    <a:blip r:embed="rId6"/>
                    <a:stretch>
                      <a:fillRect/>
                    </a:stretch>
                  </pic:blipFill>
                  <pic:spPr>
                    <a:xfrm>
                      <a:off x="0" y="0"/>
                      <a:ext cx="2609850" cy="2190750"/>
                    </a:xfrm>
                    <a:prstGeom prst="rect">
                      <a:avLst/>
                    </a:prstGeom>
                    <a:noFill/>
                    <a:ln>
                      <a:noFill/>
                    </a:ln>
                  </pic:spPr>
                </pic:pic>
              </a:graphicData>
            </a:graphic>
          </wp:inline>
        </w:drawing>
      </w:r>
      <w:r>
        <w:rPr>
          <w:rFonts w:ascii="Times New Roman" w:hAnsi="Times New Roman" w:eastAsia="宋体"/>
        </w:rPr>
        <w:drawing>
          <wp:inline distT="0" distB="0" distL="114300" distR="114300">
            <wp:extent cx="2609850" cy="2192655"/>
            <wp:effectExtent l="0" t="0" r="6350" b="4445"/>
            <wp:docPr id="4" name="图片 4" descr="图表, 条形图描述已自动生成"/>
            <wp:cNvGraphicFramePr/>
            <a:graphic xmlns:a="http://schemas.openxmlformats.org/drawingml/2006/main">
              <a:graphicData uri="http://schemas.openxmlformats.org/drawingml/2006/picture">
                <pic:pic xmlns:pic="http://schemas.openxmlformats.org/drawingml/2006/picture">
                  <pic:nvPicPr>
                    <pic:cNvPr id="4" name="图片 4" descr="图表, 条形图描述已自动生成"/>
                    <pic:cNvPicPr/>
                  </pic:nvPicPr>
                  <pic:blipFill>
                    <a:blip r:embed="rId7"/>
                    <a:stretch>
                      <a:fillRect/>
                    </a:stretch>
                  </pic:blipFill>
                  <pic:spPr>
                    <a:xfrm>
                      <a:off x="0" y="0"/>
                      <a:ext cx="2609850" cy="2192655"/>
                    </a:xfrm>
                    <a:prstGeom prst="rect">
                      <a:avLst/>
                    </a:prstGeom>
                    <a:noFill/>
                    <a:ln>
                      <a:noFill/>
                    </a:ln>
                  </pic:spPr>
                </pic:pic>
              </a:graphicData>
            </a:graphic>
          </wp:inline>
        </w:drawing>
      </w:r>
    </w:p>
    <w:p w14:paraId="02FC0EEF">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2</w:t>
      </w:r>
      <w:r>
        <w:rPr>
          <w:rStyle w:val="8"/>
          <w:rFonts w:hint="eastAsia" w:ascii="黑体" w:hAnsi="黑体" w:eastAsia="黑体" w:cs="黑体"/>
          <w:b w:val="0"/>
          <w:bCs/>
          <w:sz w:val="21"/>
          <w:szCs w:val="21"/>
        </w:rPr>
        <w:t xml:space="preserve"> 不同基质处理对</w:t>
      </w:r>
      <w:r>
        <w:rPr>
          <w:rStyle w:val="8"/>
          <w:rFonts w:hint="eastAsia" w:ascii="黑体" w:hAnsi="黑体" w:eastAsia="黑体" w:cs="黑体"/>
          <w:b w:val="0"/>
          <w:bCs/>
          <w:sz w:val="21"/>
          <w:szCs w:val="21"/>
          <w:lang w:val="en-US" w:eastAsia="zh-CN"/>
        </w:rPr>
        <w:t>生菜</w:t>
      </w:r>
      <w:r>
        <w:rPr>
          <w:rStyle w:val="8"/>
          <w:rFonts w:hint="eastAsia" w:ascii="黑体" w:hAnsi="黑体" w:eastAsia="黑体" w:cs="黑体"/>
          <w:b w:val="0"/>
          <w:bCs/>
          <w:sz w:val="21"/>
          <w:szCs w:val="21"/>
        </w:rPr>
        <w:t>幼苗脯氨酸和游离氨基酸含量的影响</w:t>
      </w:r>
    </w:p>
    <w:p w14:paraId="71702A19">
      <w:pPr>
        <w:spacing w:before="156" w:beforeLines="50" w:after="156" w:afterLines="50"/>
        <w:jc w:val="center"/>
        <w:outlineLvl w:val="2"/>
        <w:rPr>
          <w:rStyle w:val="8"/>
          <w:rFonts w:hint="eastAsia" w:ascii="黑体" w:hAnsi="黑体" w:eastAsia="黑体" w:cs="黑体"/>
          <w:b/>
          <w:sz w:val="21"/>
          <w:szCs w:val="21"/>
        </w:rPr>
      </w:pPr>
      <w:r>
        <w:rPr>
          <w:rFonts w:ascii="Times New Roman" w:hAnsi="Times New Roman" w:eastAsia="宋体"/>
        </w:rPr>
        <w:drawing>
          <wp:inline distT="0" distB="0" distL="114300" distR="114300">
            <wp:extent cx="1683385" cy="1435100"/>
            <wp:effectExtent l="0" t="0" r="5715" b="0"/>
            <wp:docPr id="5" name="图片 5" descr="图表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描述已自动生成"/>
                    <pic:cNvPicPr>
                      <a:picLocks noChangeAspect="1"/>
                    </pic:cNvPicPr>
                  </pic:nvPicPr>
                  <pic:blipFill>
                    <a:blip r:embed="rId8"/>
                    <a:stretch>
                      <a:fillRect/>
                    </a:stretch>
                  </pic:blipFill>
                  <pic:spPr>
                    <a:xfrm>
                      <a:off x="0" y="0"/>
                      <a:ext cx="1683385" cy="1435100"/>
                    </a:xfrm>
                    <a:prstGeom prst="rect">
                      <a:avLst/>
                    </a:prstGeom>
                    <a:noFill/>
                    <a:ln>
                      <a:noFill/>
                    </a:ln>
                  </pic:spPr>
                </pic:pic>
              </a:graphicData>
            </a:graphic>
          </wp:inline>
        </w:drawing>
      </w:r>
      <w:r>
        <w:rPr>
          <w:rFonts w:ascii="Times New Roman" w:hAnsi="Times New Roman" w:eastAsia="宋体"/>
        </w:rPr>
        <w:drawing>
          <wp:inline distT="0" distB="0" distL="114300" distR="114300">
            <wp:extent cx="1684655" cy="1436370"/>
            <wp:effectExtent l="0" t="0" r="4445" b="1143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9"/>
                    <a:stretch>
                      <a:fillRect/>
                    </a:stretch>
                  </pic:blipFill>
                  <pic:spPr>
                    <a:xfrm>
                      <a:off x="0" y="0"/>
                      <a:ext cx="1684655" cy="1436370"/>
                    </a:xfrm>
                    <a:prstGeom prst="rect">
                      <a:avLst/>
                    </a:prstGeom>
                    <a:noFill/>
                    <a:ln>
                      <a:noFill/>
                    </a:ln>
                  </pic:spPr>
                </pic:pic>
              </a:graphicData>
            </a:graphic>
          </wp:inline>
        </w:drawing>
      </w:r>
      <w:r>
        <w:rPr>
          <w:rFonts w:ascii="Times New Roman" w:hAnsi="Times New Roman" w:eastAsia="宋体"/>
        </w:rPr>
        <w:drawing>
          <wp:inline distT="0" distB="0" distL="114300" distR="114300">
            <wp:extent cx="1684655" cy="1430655"/>
            <wp:effectExtent l="0" t="0" r="4445" b="4445"/>
            <wp:docPr id="7" name="图片 7" descr="图表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表描述已自动生成"/>
                    <pic:cNvPicPr>
                      <a:picLocks noChangeAspect="1"/>
                    </pic:cNvPicPr>
                  </pic:nvPicPr>
                  <pic:blipFill>
                    <a:blip r:embed="rId10"/>
                    <a:stretch>
                      <a:fillRect/>
                    </a:stretch>
                  </pic:blipFill>
                  <pic:spPr>
                    <a:xfrm>
                      <a:off x="0" y="0"/>
                      <a:ext cx="1684655" cy="1430655"/>
                    </a:xfrm>
                    <a:prstGeom prst="rect">
                      <a:avLst/>
                    </a:prstGeom>
                    <a:noFill/>
                    <a:ln>
                      <a:noFill/>
                    </a:ln>
                  </pic:spPr>
                </pic:pic>
              </a:graphicData>
            </a:graphic>
          </wp:inline>
        </w:drawing>
      </w:r>
    </w:p>
    <w:p w14:paraId="324AD838">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3</w:t>
      </w:r>
      <w:r>
        <w:rPr>
          <w:rStyle w:val="8"/>
          <w:rFonts w:hint="eastAsia" w:ascii="黑体" w:hAnsi="黑体" w:eastAsia="黑体" w:cs="黑体"/>
          <w:b w:val="0"/>
          <w:bCs/>
          <w:sz w:val="21"/>
          <w:szCs w:val="21"/>
        </w:rPr>
        <w:t xml:space="preserve"> 不同基质处理对生菜幼苗APX、CAT、POD活性的影响</w:t>
      </w:r>
    </w:p>
    <w:p w14:paraId="10631A4E">
      <w:pPr>
        <w:spacing w:before="156" w:beforeLines="50" w:after="156" w:afterLines="50"/>
        <w:outlineLvl w:val="2"/>
        <w:rPr>
          <w:rStyle w:val="8"/>
          <w:rFonts w:hint="eastAsia" w:ascii="黑体" w:hAnsi="黑体" w:eastAsia="黑体" w:cs="黑体"/>
          <w:b/>
          <w:sz w:val="21"/>
          <w:szCs w:val="21"/>
        </w:rPr>
      </w:pPr>
    </w:p>
    <w:p w14:paraId="06B744FD">
      <w:pPr>
        <w:spacing w:before="156" w:beforeLines="50" w:after="156" w:afterLines="50"/>
        <w:outlineLvl w:val="2"/>
        <w:rPr>
          <w:rStyle w:val="8"/>
          <w:rFonts w:hint="eastAsia" w:ascii="黑体" w:hAnsi="黑体" w:eastAsia="黑体" w:cs="黑体"/>
          <w:b/>
          <w:sz w:val="21"/>
          <w:szCs w:val="21"/>
        </w:rPr>
      </w:pPr>
    </w:p>
    <w:p w14:paraId="53EDA813">
      <w:pPr>
        <w:spacing w:before="156" w:beforeLines="50" w:after="156" w:afterLines="50"/>
        <w:outlineLvl w:val="2"/>
        <w:rPr>
          <w:rStyle w:val="8"/>
          <w:rFonts w:hint="eastAsia" w:ascii="黑体" w:hAnsi="黑体" w:eastAsia="黑体" w:cs="黑体"/>
          <w:b/>
          <w:sz w:val="21"/>
          <w:szCs w:val="21"/>
        </w:rPr>
      </w:pPr>
    </w:p>
    <w:p w14:paraId="17D407E6">
      <w:pPr>
        <w:spacing w:before="156" w:beforeLines="50" w:after="156" w:afterLines="50"/>
        <w:jc w:val="center"/>
        <w:outlineLvl w:val="2"/>
        <w:rPr>
          <w:rStyle w:val="8"/>
          <w:rFonts w:hint="eastAsia" w:ascii="黑体" w:hAnsi="黑体" w:eastAsia="黑体" w:cs="黑体"/>
          <w:b/>
          <w:sz w:val="21"/>
          <w:szCs w:val="21"/>
        </w:rPr>
      </w:pPr>
      <w:r>
        <w:rPr>
          <w:rFonts w:ascii="Times New Roman" w:hAnsi="Times New Roman" w:eastAsia="宋体"/>
        </w:rPr>
        <w:drawing>
          <wp:inline distT="0" distB="0" distL="114300" distR="114300">
            <wp:extent cx="2503805" cy="2051685"/>
            <wp:effectExtent l="0" t="0" r="1079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503805" cy="2051685"/>
                    </a:xfrm>
                    <a:prstGeom prst="rect">
                      <a:avLst/>
                    </a:prstGeom>
                    <a:noFill/>
                    <a:ln>
                      <a:noFill/>
                    </a:ln>
                  </pic:spPr>
                </pic:pic>
              </a:graphicData>
            </a:graphic>
          </wp:inline>
        </w:drawing>
      </w:r>
    </w:p>
    <w:p w14:paraId="342C0AA6">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4</w:t>
      </w:r>
      <w:r>
        <w:rPr>
          <w:rStyle w:val="8"/>
          <w:rFonts w:hint="eastAsia" w:ascii="黑体" w:hAnsi="黑体" w:eastAsia="黑体" w:cs="黑体"/>
          <w:b w:val="0"/>
          <w:bCs/>
          <w:sz w:val="21"/>
          <w:szCs w:val="21"/>
        </w:rPr>
        <w:t xml:space="preserve"> 不同基质处理对生菜幼苗过氧化氢含量的影响</w:t>
      </w:r>
    </w:p>
    <w:p w14:paraId="7C5B4A12">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1.3.2</w:t>
      </w:r>
      <w:r>
        <w:rPr>
          <w:rStyle w:val="8"/>
          <w:rFonts w:hint="eastAsia" w:eastAsia="方正仿宋_GB2312" w:cstheme="minorBidi"/>
          <w:b/>
          <w:sz w:val="32"/>
          <w:szCs w:val="32"/>
        </w:rPr>
        <w:t>生菜幼苗根系生长指标</w:t>
      </w:r>
    </w:p>
    <w:p w14:paraId="75336E0F">
      <w:pPr>
        <w:spacing w:before="156" w:beforeLines="50" w:after="156" w:afterLines="50"/>
        <w:ind w:firstLine="640" w:firstLineChars="200"/>
        <w:outlineLvl w:val="2"/>
        <w:rPr>
          <w:rStyle w:val="8"/>
          <w:rFonts w:hint="eastAsia" w:eastAsia="方正仿宋_GB2312" w:cstheme="minorBidi"/>
          <w:b/>
          <w:sz w:val="32"/>
          <w:szCs w:val="32"/>
        </w:rPr>
      </w:pPr>
      <w:r>
        <w:rPr>
          <w:rStyle w:val="8"/>
          <w:rFonts w:hint="eastAsia" w:eastAsia="方正仿宋_GB2312" w:cstheme="minorBidi"/>
          <w:b w:val="0"/>
          <w:bCs/>
          <w:sz w:val="32"/>
          <w:szCs w:val="32"/>
        </w:rPr>
        <w:t>利用根系表型分析系统GXY-A对不同处理基质生菜幼苗根系形态</w:t>
      </w:r>
      <w:r>
        <w:rPr>
          <w:rStyle w:val="8"/>
          <w:rFonts w:hint="eastAsia" w:eastAsia="方正仿宋_GB2312" w:cstheme="minorBidi"/>
          <w:b w:val="0"/>
          <w:bCs/>
          <w:sz w:val="32"/>
          <w:szCs w:val="32"/>
          <w:lang w:eastAsia="zh-CN"/>
        </w:rPr>
        <w:t>做</w:t>
      </w:r>
      <w:r>
        <w:rPr>
          <w:rStyle w:val="8"/>
          <w:rFonts w:hint="eastAsia" w:eastAsia="方正仿宋_GB2312" w:cstheme="minorBidi"/>
          <w:b w:val="0"/>
          <w:bCs/>
          <w:sz w:val="32"/>
          <w:szCs w:val="32"/>
        </w:rPr>
        <w:t>初步扫描，结果显示T2处理基质的生菜幼苗的各项根系指标均显著优于其他基质处理。CK1处理的生菜根系指标仅次于T2，其总根长、根平均直径、根总体积、根总表面积、根总投影面积、根尖数分别比T2低了12.17%、22.84%、43.02%、19.60%、30.68%和74.81%。T1处理的总根长、根平均直径、根总体积、根总表面积、根总投影面积、根尖数分别比T2低了8.06%、20.26%、58.90%、27.36%、26.43%和69.43%。CK2处理的各项根系指标分别比T1低了13.95%、17.30%、12.86%、18.56%、15.22%和6.74%。</w:t>
      </w:r>
    </w:p>
    <w:p w14:paraId="59FFDE38">
      <w:pPr>
        <w:spacing w:before="156" w:beforeLines="50" w:after="156" w:afterLines="50"/>
        <w:outlineLvl w:val="2"/>
        <w:rPr>
          <w:rStyle w:val="8"/>
          <w:rFonts w:hint="eastAsia" w:eastAsia="方正仿宋_GB2312" w:cstheme="minorBidi"/>
          <w:b/>
          <w:sz w:val="32"/>
          <w:szCs w:val="32"/>
        </w:rPr>
      </w:pPr>
      <w:r>
        <w:rPr>
          <w:rFonts w:ascii="Times New Roman" w:hAnsi="Times New Roman" w:eastAsia="宋体" w:cs="Times New Roman"/>
          <w:sz w:val="24"/>
          <w:szCs w:val="28"/>
        </w:rPr>
        <w:drawing>
          <wp:inline distT="0" distB="0" distL="114300" distR="114300">
            <wp:extent cx="5334000" cy="2569845"/>
            <wp:effectExtent l="0" t="0" r="0"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rcRect t="10359" b="8904"/>
                    <a:stretch>
                      <a:fillRect/>
                    </a:stretch>
                  </pic:blipFill>
                  <pic:spPr>
                    <a:xfrm>
                      <a:off x="0" y="0"/>
                      <a:ext cx="5334000" cy="2569845"/>
                    </a:xfrm>
                    <a:prstGeom prst="rect">
                      <a:avLst/>
                    </a:prstGeom>
                    <a:noFill/>
                    <a:ln>
                      <a:noFill/>
                    </a:ln>
                  </pic:spPr>
                </pic:pic>
              </a:graphicData>
            </a:graphic>
          </wp:inline>
        </w:drawing>
      </w:r>
    </w:p>
    <w:p w14:paraId="4EF0D665">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5</w:t>
      </w:r>
      <w:r>
        <w:rPr>
          <w:rStyle w:val="8"/>
          <w:rFonts w:hint="eastAsia" w:ascii="黑体" w:hAnsi="黑体" w:eastAsia="黑体" w:cs="黑体"/>
          <w:b w:val="0"/>
          <w:bCs/>
          <w:sz w:val="21"/>
          <w:szCs w:val="21"/>
        </w:rPr>
        <w:t xml:space="preserve"> 不同基质处理下生菜幼苗的根系生长指标</w:t>
      </w:r>
    </w:p>
    <w:p w14:paraId="3027896C">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A.根系长度；B.根系平均直径；C.根系体积；D.根系表面积E.根系投影面积；F.根尖数</w:t>
      </w:r>
    </w:p>
    <w:p w14:paraId="26AB882B">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1.3.3</w:t>
      </w:r>
      <w:r>
        <w:rPr>
          <w:rStyle w:val="8"/>
          <w:rFonts w:hint="eastAsia" w:eastAsia="方正仿宋_GB2312" w:cstheme="minorBidi"/>
          <w:b/>
          <w:sz w:val="32"/>
          <w:szCs w:val="32"/>
        </w:rPr>
        <w:t>生菜幼苗</w:t>
      </w:r>
      <w:r>
        <w:rPr>
          <w:rStyle w:val="8"/>
          <w:rFonts w:hint="eastAsia" w:eastAsia="方正仿宋_GB2312" w:cstheme="minorBidi"/>
          <w:b/>
          <w:sz w:val="32"/>
          <w:szCs w:val="32"/>
          <w:lang w:val="en-US" w:eastAsia="zh-CN"/>
        </w:rPr>
        <w:t>生长</w:t>
      </w:r>
      <w:r>
        <w:rPr>
          <w:rStyle w:val="8"/>
          <w:rFonts w:hint="eastAsia" w:eastAsia="方正仿宋_GB2312" w:cstheme="minorBidi"/>
          <w:b/>
          <w:sz w:val="32"/>
          <w:szCs w:val="32"/>
        </w:rPr>
        <w:t>指标</w:t>
      </w:r>
    </w:p>
    <w:p w14:paraId="65788CBE">
      <w:pPr>
        <w:spacing w:before="156" w:beforeLines="50" w:after="156" w:afterLines="50"/>
        <w:ind w:firstLine="640" w:firstLineChars="200"/>
        <w:outlineLvl w:val="2"/>
        <w:rPr>
          <w:rStyle w:val="8"/>
          <w:rFonts w:hint="eastAsia" w:eastAsia="方正仿宋_GB2312" w:cstheme="minorBidi"/>
          <w:b/>
          <w:sz w:val="32"/>
          <w:szCs w:val="32"/>
        </w:rPr>
      </w:pPr>
      <w:r>
        <w:rPr>
          <w:rStyle w:val="8"/>
          <w:rFonts w:hint="eastAsia" w:eastAsia="方正仿宋_GB2312" w:cstheme="minorBidi"/>
          <w:b w:val="0"/>
          <w:bCs/>
          <w:sz w:val="32"/>
          <w:szCs w:val="32"/>
        </w:rPr>
        <w:t>通过对生菜生长指标的测定，结果显示不同处理基质对生菜幼苗株高，最大叶长和含水量影响显著性较小，对生菜菜茎粗、叶片数和最大茎宽影响较显著；茎粗指标中T1处理较CK1、CK2和T2分别增长了21.65%、14.75%和8.38%，叶片数指标中T1处理较CK1、CK2和T2分别增长了8.02%、7.62%和4.10%，最大叶宽指标中T1处理较CK1、CK2和T2分别增长了11.96%、6.75%和4.60%。</w:t>
      </w:r>
    </w:p>
    <w:p w14:paraId="2673C832">
      <w:pPr>
        <w:spacing w:before="156" w:beforeLines="50" w:after="156" w:afterLines="50"/>
        <w:outlineLvl w:val="2"/>
        <w:rPr>
          <w:rStyle w:val="8"/>
          <w:rFonts w:hint="eastAsia" w:eastAsia="方正仿宋_GB2312" w:cstheme="minorBidi"/>
          <w:b/>
          <w:sz w:val="32"/>
          <w:szCs w:val="32"/>
        </w:rPr>
      </w:pPr>
      <w:r>
        <w:drawing>
          <wp:inline distT="0" distB="0" distL="114300" distR="114300">
            <wp:extent cx="2609850" cy="2268220"/>
            <wp:effectExtent l="0" t="0" r="6350" b="5080"/>
            <wp:docPr id="10" name="图片 10" descr="图表, 条形图&#10;&#10;描述已自动生成"/>
            <wp:cNvGraphicFramePr/>
            <a:graphic xmlns:a="http://schemas.openxmlformats.org/drawingml/2006/main">
              <a:graphicData uri="http://schemas.openxmlformats.org/drawingml/2006/picture">
                <pic:pic xmlns:pic="http://schemas.openxmlformats.org/drawingml/2006/picture">
                  <pic:nvPicPr>
                    <pic:cNvPr id="10" name="图片 10" descr="图表, 条形图&#10;&#10;描述已自动生成"/>
                    <pic:cNvPicPr/>
                  </pic:nvPicPr>
                  <pic:blipFill>
                    <a:blip r:embed="rId13"/>
                    <a:stretch>
                      <a:fillRect/>
                    </a:stretch>
                  </pic:blipFill>
                  <pic:spPr>
                    <a:xfrm>
                      <a:off x="0" y="0"/>
                      <a:ext cx="2609850" cy="2268220"/>
                    </a:xfrm>
                    <a:prstGeom prst="rect">
                      <a:avLst/>
                    </a:prstGeom>
                    <a:noFill/>
                    <a:ln>
                      <a:noFill/>
                    </a:ln>
                  </pic:spPr>
                </pic:pic>
              </a:graphicData>
            </a:graphic>
          </wp:inline>
        </w:drawing>
      </w:r>
      <w:r>
        <w:drawing>
          <wp:inline distT="0" distB="0" distL="114300" distR="114300">
            <wp:extent cx="2609850" cy="2268220"/>
            <wp:effectExtent l="0" t="0" r="6350" b="508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4"/>
                    <a:stretch>
                      <a:fillRect/>
                    </a:stretch>
                  </pic:blipFill>
                  <pic:spPr>
                    <a:xfrm>
                      <a:off x="0" y="0"/>
                      <a:ext cx="2609850" cy="2268220"/>
                    </a:xfrm>
                    <a:prstGeom prst="rect">
                      <a:avLst/>
                    </a:prstGeom>
                    <a:noFill/>
                    <a:ln>
                      <a:noFill/>
                    </a:ln>
                  </pic:spPr>
                </pic:pic>
              </a:graphicData>
            </a:graphic>
          </wp:inline>
        </w:drawing>
      </w:r>
      <w:r>
        <w:drawing>
          <wp:inline distT="0" distB="0" distL="114300" distR="114300">
            <wp:extent cx="2609850" cy="2268220"/>
            <wp:effectExtent l="0" t="0" r="6350" b="5080"/>
            <wp:docPr id="12" name="图片 12"/>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5"/>
                    <a:stretch>
                      <a:fillRect/>
                    </a:stretch>
                  </pic:blipFill>
                  <pic:spPr>
                    <a:xfrm>
                      <a:off x="0" y="0"/>
                      <a:ext cx="2609850" cy="2268220"/>
                    </a:xfrm>
                    <a:prstGeom prst="rect">
                      <a:avLst/>
                    </a:prstGeom>
                    <a:noFill/>
                    <a:ln>
                      <a:noFill/>
                    </a:ln>
                  </pic:spPr>
                </pic:pic>
              </a:graphicData>
            </a:graphic>
          </wp:inline>
        </w:drawing>
      </w:r>
      <w:r>
        <w:drawing>
          <wp:inline distT="0" distB="0" distL="114300" distR="114300">
            <wp:extent cx="2609850" cy="2268220"/>
            <wp:effectExtent l="0" t="0" r="6350" b="5080"/>
            <wp:docPr id="13" name="图片 13" descr="图表, 条形图&#10;&#10;描述已自动生成"/>
            <wp:cNvGraphicFramePr/>
            <a:graphic xmlns:a="http://schemas.openxmlformats.org/drawingml/2006/main">
              <a:graphicData uri="http://schemas.openxmlformats.org/drawingml/2006/picture">
                <pic:pic xmlns:pic="http://schemas.openxmlformats.org/drawingml/2006/picture">
                  <pic:nvPicPr>
                    <pic:cNvPr id="13" name="图片 13" descr="图表, 条形图&#10;&#10;描述已自动生成"/>
                    <pic:cNvPicPr/>
                  </pic:nvPicPr>
                  <pic:blipFill>
                    <a:blip r:embed="rId16"/>
                    <a:stretch>
                      <a:fillRect/>
                    </a:stretch>
                  </pic:blipFill>
                  <pic:spPr>
                    <a:xfrm>
                      <a:off x="0" y="0"/>
                      <a:ext cx="2609850" cy="2268220"/>
                    </a:xfrm>
                    <a:prstGeom prst="rect">
                      <a:avLst/>
                    </a:prstGeom>
                    <a:noFill/>
                    <a:ln>
                      <a:noFill/>
                    </a:ln>
                  </pic:spPr>
                </pic:pic>
              </a:graphicData>
            </a:graphic>
          </wp:inline>
        </w:drawing>
      </w:r>
      <w:r>
        <w:drawing>
          <wp:inline distT="0" distB="0" distL="114300" distR="114300">
            <wp:extent cx="2609850" cy="2268220"/>
            <wp:effectExtent l="0" t="0" r="6350" b="5080"/>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7"/>
                    <a:stretch>
                      <a:fillRect/>
                    </a:stretch>
                  </pic:blipFill>
                  <pic:spPr>
                    <a:xfrm>
                      <a:off x="0" y="0"/>
                      <a:ext cx="2609850" cy="2268220"/>
                    </a:xfrm>
                    <a:prstGeom prst="rect">
                      <a:avLst/>
                    </a:prstGeom>
                    <a:noFill/>
                    <a:ln>
                      <a:noFill/>
                    </a:ln>
                  </pic:spPr>
                </pic:pic>
              </a:graphicData>
            </a:graphic>
          </wp:inline>
        </w:drawing>
      </w:r>
      <w:r>
        <w:drawing>
          <wp:inline distT="0" distB="0" distL="114300" distR="114300">
            <wp:extent cx="2609850" cy="2268220"/>
            <wp:effectExtent l="0" t="0" r="6350" b="5080"/>
            <wp:docPr id="15" name="图片 15" descr="图表, 条形图&#10;&#10;描述已自动生成"/>
            <wp:cNvGraphicFramePr/>
            <a:graphic xmlns:a="http://schemas.openxmlformats.org/drawingml/2006/main">
              <a:graphicData uri="http://schemas.openxmlformats.org/drawingml/2006/picture">
                <pic:pic xmlns:pic="http://schemas.openxmlformats.org/drawingml/2006/picture">
                  <pic:nvPicPr>
                    <pic:cNvPr id="15" name="图片 15" descr="图表, 条形图&#10;&#10;描述已自动生成"/>
                    <pic:cNvPicPr/>
                  </pic:nvPicPr>
                  <pic:blipFill>
                    <a:blip r:embed="rId18"/>
                    <a:stretch>
                      <a:fillRect/>
                    </a:stretch>
                  </pic:blipFill>
                  <pic:spPr>
                    <a:xfrm>
                      <a:off x="0" y="0"/>
                      <a:ext cx="2609850" cy="2268220"/>
                    </a:xfrm>
                    <a:prstGeom prst="rect">
                      <a:avLst/>
                    </a:prstGeom>
                    <a:noFill/>
                    <a:ln>
                      <a:noFill/>
                    </a:ln>
                  </pic:spPr>
                </pic:pic>
              </a:graphicData>
            </a:graphic>
          </wp:inline>
        </w:drawing>
      </w:r>
    </w:p>
    <w:p w14:paraId="415D716F">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6</w:t>
      </w:r>
      <w:r>
        <w:rPr>
          <w:rStyle w:val="8"/>
          <w:rFonts w:hint="eastAsia" w:ascii="黑体" w:hAnsi="黑体" w:eastAsia="黑体" w:cs="黑体"/>
          <w:b w:val="0"/>
          <w:bCs/>
          <w:sz w:val="21"/>
          <w:szCs w:val="21"/>
        </w:rPr>
        <w:t xml:space="preserve"> 不同基质处理下生菜幼苗的生长指标</w:t>
      </w:r>
    </w:p>
    <w:p w14:paraId="40567A57">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1.4</w:t>
      </w:r>
      <w:r>
        <w:rPr>
          <w:rStyle w:val="8"/>
          <w:rFonts w:hint="eastAsia" w:eastAsia="方正仿宋_GB2312" w:cstheme="minorBidi"/>
          <w:b/>
          <w:sz w:val="32"/>
          <w:szCs w:val="32"/>
        </w:rPr>
        <w:t>小结</w:t>
      </w:r>
    </w:p>
    <w:p w14:paraId="0BDE9466">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育苗基质T1处理的有机肥育苗基质（其中添加丛枝菌根真菌）和T2处理育苗专用基质（其中添加天然矿物质和腐殖酸有机肥）中生菜幼苗的抗氧化酶活性</w:t>
      </w:r>
      <w:r>
        <w:rPr>
          <w:rStyle w:val="8"/>
          <w:rFonts w:hint="eastAsia" w:eastAsia="方正仿宋_GB2312" w:cstheme="minorBidi"/>
          <w:b w:val="0"/>
          <w:bCs/>
          <w:sz w:val="32"/>
          <w:szCs w:val="32"/>
          <w:lang w:eastAsia="zh-CN"/>
        </w:rPr>
        <w:t>均</w:t>
      </w:r>
      <w:r>
        <w:rPr>
          <w:rStyle w:val="8"/>
          <w:rFonts w:hint="eastAsia" w:eastAsia="方正仿宋_GB2312" w:cstheme="minorBidi"/>
          <w:b w:val="0"/>
          <w:bCs/>
          <w:sz w:val="32"/>
          <w:szCs w:val="32"/>
        </w:rPr>
        <w:t>显著高于其他两组处理，其中T1效果最为显著。T1处理育苗专用基质（其中添加丛枝菌根真菌）的生菜幼苗的根系生长状况均优于CK2处理，对生菜的根系平均直径以及根系表面积的促进效果最好。在4个试验处理中，T1处理的有机肥育苗基质（其中添加丛枝菌根真菌）的生菜幼苗的生理指标含量及酶活性最优，可作为最理想的育苗基质。</w:t>
      </w:r>
    </w:p>
    <w:p w14:paraId="5DFC0CC8">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2.莴苣</w:t>
      </w:r>
      <w:r>
        <w:rPr>
          <w:rStyle w:val="8"/>
          <w:rFonts w:hint="eastAsia" w:eastAsia="方正仿宋_GB2312" w:cstheme="minorBidi"/>
          <w:b/>
          <w:sz w:val="32"/>
          <w:szCs w:val="32"/>
        </w:rPr>
        <w:t>育苗的基质配比</w:t>
      </w:r>
      <w:r>
        <w:rPr>
          <w:rStyle w:val="8"/>
          <w:rFonts w:hint="eastAsia" w:eastAsia="方正仿宋_GB2312" w:cstheme="minorBidi"/>
          <w:b/>
          <w:sz w:val="32"/>
          <w:szCs w:val="32"/>
          <w:lang w:val="en-US" w:eastAsia="zh-CN"/>
        </w:rPr>
        <w:t>和</w:t>
      </w:r>
      <w:r>
        <w:rPr>
          <w:rStyle w:val="8"/>
          <w:rFonts w:hint="eastAsia" w:eastAsia="方正仿宋_GB2312" w:cstheme="minorBidi"/>
          <w:b/>
          <w:sz w:val="32"/>
          <w:szCs w:val="32"/>
        </w:rPr>
        <w:t>穴盘规格筛选</w:t>
      </w:r>
    </w:p>
    <w:p w14:paraId="5907B9EC">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2.1</w:t>
      </w:r>
      <w:r>
        <w:rPr>
          <w:rStyle w:val="8"/>
          <w:rFonts w:hint="eastAsia" w:eastAsia="方正仿宋_GB2312" w:cstheme="minorBidi"/>
          <w:b/>
          <w:sz w:val="32"/>
          <w:szCs w:val="32"/>
        </w:rPr>
        <w:t>研究目的</w:t>
      </w:r>
    </w:p>
    <w:p w14:paraId="4A97DBD1">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通过系统研究不同穴盘规格和基质配比对莴苣育苗效果的影响，筛选适宜叶用莴苣和茎用莴苣基质育苗</w:t>
      </w:r>
      <w:r>
        <w:rPr>
          <w:rStyle w:val="8"/>
          <w:rFonts w:hint="eastAsia" w:eastAsia="方正仿宋_GB2312" w:cstheme="minorBidi"/>
          <w:b w:val="0"/>
          <w:bCs/>
          <w:sz w:val="32"/>
          <w:szCs w:val="32"/>
          <w:lang w:val="en-US" w:eastAsia="zh-CN"/>
        </w:rPr>
        <w:t>的</w:t>
      </w:r>
      <w:r>
        <w:rPr>
          <w:rStyle w:val="8"/>
          <w:rFonts w:hint="eastAsia" w:eastAsia="方正仿宋_GB2312" w:cstheme="minorBidi"/>
          <w:b w:val="0"/>
          <w:bCs/>
          <w:sz w:val="32"/>
          <w:szCs w:val="32"/>
        </w:rPr>
        <w:t>最佳技术参数，建立莴苣工厂化育苗技术体系，为莴苣产业化生产提供技术支撑。</w:t>
      </w:r>
    </w:p>
    <w:p w14:paraId="71386453">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2.2</w:t>
      </w:r>
      <w:r>
        <w:rPr>
          <w:rStyle w:val="8"/>
          <w:rFonts w:hint="eastAsia" w:eastAsia="方正仿宋_GB2312" w:cstheme="minorBidi"/>
          <w:b/>
          <w:sz w:val="32"/>
          <w:szCs w:val="32"/>
        </w:rPr>
        <w:t>材料与方法</w:t>
      </w:r>
    </w:p>
    <w:p w14:paraId="0C89E650">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2.2.1</w:t>
      </w:r>
      <w:r>
        <w:rPr>
          <w:rStyle w:val="8"/>
          <w:rFonts w:hint="eastAsia" w:eastAsia="方正仿宋_GB2312" w:cstheme="minorBidi"/>
          <w:b/>
          <w:sz w:val="32"/>
          <w:szCs w:val="32"/>
        </w:rPr>
        <w:t>试验材料与地点</w:t>
      </w:r>
    </w:p>
    <w:p w14:paraId="500DAF89">
      <w:pPr>
        <w:spacing w:before="156" w:beforeLines="50" w:after="156" w:afterLines="50"/>
        <w:ind w:firstLine="640" w:firstLineChars="200"/>
        <w:outlineLvl w:val="2"/>
        <w:rPr>
          <w:rStyle w:val="8"/>
          <w:rFonts w:hint="eastAsia" w:eastAsia="方正仿宋_GB2312" w:cstheme="minorBidi"/>
          <w:b w:val="0"/>
          <w:bCs/>
          <w:sz w:val="32"/>
          <w:szCs w:val="32"/>
          <w:lang w:eastAsia="zh-CN"/>
        </w:rPr>
      </w:pPr>
      <w:r>
        <w:rPr>
          <w:rStyle w:val="8"/>
          <w:rFonts w:hint="eastAsia" w:eastAsia="方正仿宋_GB2312" w:cstheme="minorBidi"/>
          <w:b w:val="0"/>
          <w:bCs/>
          <w:sz w:val="32"/>
          <w:szCs w:val="32"/>
        </w:rPr>
        <w:t>基质育苗试验：叶用莴苣（165号）和茎用莴苣（1号）</w:t>
      </w:r>
      <w:r>
        <w:rPr>
          <w:rStyle w:val="8"/>
          <w:rFonts w:hint="eastAsia" w:eastAsia="方正仿宋_GB2312" w:cstheme="minorBidi"/>
          <w:b w:val="0"/>
          <w:bCs/>
          <w:sz w:val="32"/>
          <w:szCs w:val="32"/>
          <w:lang w:eastAsia="zh-CN"/>
        </w:rPr>
        <w:t>；</w:t>
      </w:r>
    </w:p>
    <w:p w14:paraId="7A88FB62">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试验地点：青海大学园艺创新基地育苗温室。</w:t>
      </w:r>
    </w:p>
    <w:p w14:paraId="7EBD36C2">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2.2.2</w:t>
      </w:r>
      <w:r>
        <w:rPr>
          <w:rStyle w:val="8"/>
          <w:rFonts w:hint="eastAsia" w:eastAsia="方正仿宋_GB2312" w:cstheme="minorBidi"/>
          <w:b/>
          <w:sz w:val="32"/>
          <w:szCs w:val="32"/>
        </w:rPr>
        <w:t>试验设计</w:t>
      </w:r>
    </w:p>
    <w:p w14:paraId="3CB868E5">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基质采用草炭+珍珠岩（1:1，2:1，3:1）自制育苗基质，穴盘采用72孔、105孔、128孔、200孔播种（表1），每个处理重复播种3盘，每穴1粒种子，共72盘，分别测定各处理的出苗率，筛选适宜莴苣育苗的基质配方。后继续利用筛选得到的基质配方分别在72孔和105孔穴盘播种，每个处理重复播种3盘，每穴1粒种子，共12盘，测定出苗率，分别在叶用莴苣三叶一心和茎用莴苣四叶一心时，每盘随机选取5株测定株高、茎粗、株幅、最大叶长、最大叶宽、鲜重和干重，并计算根冠比和壮苗指数。整个试验期间不施肥，统一管理。</w:t>
      </w:r>
    </w:p>
    <w:p w14:paraId="5032F5D1">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表1 不同穴盘规格和基质配比试验处理方案</w:t>
      </w:r>
    </w:p>
    <w:tbl>
      <w:tblPr>
        <w:tblStyle w:val="4"/>
        <w:tblW w:w="4999"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30"/>
        <w:gridCol w:w="1839"/>
        <w:gridCol w:w="2410"/>
        <w:gridCol w:w="1841"/>
      </w:tblGrid>
      <w:tr w14:paraId="5834EB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26" w:type="pct"/>
            <w:tcBorders>
              <w:bottom w:val="single" w:color="auto" w:sz="4" w:space="0"/>
            </w:tcBorders>
            <w:noWrap w:val="0"/>
            <w:vAlign w:val="center"/>
          </w:tcPr>
          <w:p w14:paraId="1BFBF053">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穴盘规格</w:t>
            </w:r>
          </w:p>
        </w:tc>
        <w:tc>
          <w:tcPr>
            <w:tcW w:w="3573" w:type="pct"/>
            <w:gridSpan w:val="3"/>
            <w:tcBorders>
              <w:bottom w:val="single" w:color="auto" w:sz="4" w:space="0"/>
            </w:tcBorders>
            <w:noWrap w:val="0"/>
            <w:vAlign w:val="center"/>
          </w:tcPr>
          <w:p w14:paraId="37F45B62">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基质配比（草炭+珍珠岩）</w:t>
            </w:r>
          </w:p>
        </w:tc>
      </w:tr>
      <w:tr w14:paraId="742C68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26" w:type="pct"/>
            <w:tcBorders>
              <w:top w:val="single" w:color="auto" w:sz="4" w:space="0"/>
            </w:tcBorders>
            <w:noWrap w:val="0"/>
            <w:vAlign w:val="center"/>
          </w:tcPr>
          <w:p w14:paraId="49FC6C2B">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72穴</w:t>
            </w:r>
          </w:p>
        </w:tc>
        <w:tc>
          <w:tcPr>
            <w:tcW w:w="1079" w:type="pct"/>
            <w:tcBorders>
              <w:top w:val="single" w:color="auto" w:sz="4" w:space="0"/>
            </w:tcBorders>
            <w:noWrap w:val="0"/>
            <w:vAlign w:val="center"/>
          </w:tcPr>
          <w:p w14:paraId="1CFD3C37">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1:1</w:t>
            </w:r>
          </w:p>
        </w:tc>
        <w:tc>
          <w:tcPr>
            <w:tcW w:w="1414" w:type="pct"/>
            <w:tcBorders>
              <w:top w:val="single" w:color="auto" w:sz="4" w:space="0"/>
            </w:tcBorders>
            <w:noWrap w:val="0"/>
            <w:vAlign w:val="center"/>
          </w:tcPr>
          <w:p w14:paraId="1C18E3C9">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2</w:t>
            </w:r>
            <w:r>
              <w:rPr>
                <w:rFonts w:hint="eastAsia" w:ascii="Times New Roman" w:hAnsi="Times New Roman" w:cs="Times New Roman"/>
                <w:b w:val="0"/>
                <w:bCs w:val="0"/>
                <w:sz w:val="21"/>
                <w:szCs w:val="21"/>
                <w:vertAlign w:val="baseline"/>
                <w:lang w:val="en-US" w:eastAsia="zh-CN"/>
              </w:rPr>
              <w:t>:</w:t>
            </w:r>
            <w:r>
              <w:rPr>
                <w:rFonts w:hint="default" w:ascii="Times New Roman" w:hAnsi="Times New Roman" w:cs="Times New Roman"/>
                <w:b w:val="0"/>
                <w:bCs w:val="0"/>
                <w:sz w:val="21"/>
                <w:szCs w:val="21"/>
                <w:vertAlign w:val="baseline"/>
                <w:lang w:val="en-US" w:eastAsia="zh-CN"/>
              </w:rPr>
              <w:t>1</w:t>
            </w:r>
          </w:p>
        </w:tc>
        <w:tc>
          <w:tcPr>
            <w:tcW w:w="1080" w:type="pct"/>
            <w:tcBorders>
              <w:top w:val="single" w:color="auto" w:sz="4" w:space="0"/>
            </w:tcBorders>
            <w:noWrap w:val="0"/>
            <w:vAlign w:val="center"/>
          </w:tcPr>
          <w:p w14:paraId="25351864">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3:1</w:t>
            </w:r>
          </w:p>
        </w:tc>
      </w:tr>
      <w:tr w14:paraId="49C465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26" w:type="pct"/>
            <w:noWrap w:val="0"/>
            <w:vAlign w:val="center"/>
          </w:tcPr>
          <w:p w14:paraId="74726738">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105穴</w:t>
            </w:r>
          </w:p>
        </w:tc>
        <w:tc>
          <w:tcPr>
            <w:tcW w:w="1079" w:type="pct"/>
            <w:noWrap w:val="0"/>
            <w:vAlign w:val="center"/>
          </w:tcPr>
          <w:p w14:paraId="28E51776">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1:1</w:t>
            </w:r>
          </w:p>
        </w:tc>
        <w:tc>
          <w:tcPr>
            <w:tcW w:w="1414" w:type="pct"/>
            <w:noWrap w:val="0"/>
            <w:vAlign w:val="center"/>
          </w:tcPr>
          <w:p w14:paraId="215ED554">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2</w:t>
            </w:r>
            <w:r>
              <w:rPr>
                <w:rFonts w:hint="eastAsia" w:ascii="Times New Roman" w:hAnsi="Times New Roman" w:cs="Times New Roman"/>
                <w:b w:val="0"/>
                <w:bCs w:val="0"/>
                <w:sz w:val="21"/>
                <w:szCs w:val="21"/>
                <w:vertAlign w:val="baseline"/>
                <w:lang w:val="en-US" w:eastAsia="zh-CN"/>
              </w:rPr>
              <w:t>:</w:t>
            </w:r>
            <w:r>
              <w:rPr>
                <w:rFonts w:hint="default" w:ascii="Times New Roman" w:hAnsi="Times New Roman" w:cs="Times New Roman"/>
                <w:b w:val="0"/>
                <w:bCs w:val="0"/>
                <w:sz w:val="21"/>
                <w:szCs w:val="21"/>
                <w:vertAlign w:val="baseline"/>
                <w:lang w:val="en-US" w:eastAsia="zh-CN"/>
              </w:rPr>
              <w:t>1</w:t>
            </w:r>
          </w:p>
        </w:tc>
        <w:tc>
          <w:tcPr>
            <w:tcW w:w="1080" w:type="pct"/>
            <w:noWrap w:val="0"/>
            <w:vAlign w:val="center"/>
          </w:tcPr>
          <w:p w14:paraId="4DCE95A8">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3:1</w:t>
            </w:r>
          </w:p>
        </w:tc>
      </w:tr>
      <w:tr w14:paraId="56F57F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26" w:type="pct"/>
            <w:noWrap w:val="0"/>
            <w:vAlign w:val="center"/>
          </w:tcPr>
          <w:p w14:paraId="2A6F8723">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128穴</w:t>
            </w:r>
          </w:p>
        </w:tc>
        <w:tc>
          <w:tcPr>
            <w:tcW w:w="1079" w:type="pct"/>
            <w:noWrap w:val="0"/>
            <w:vAlign w:val="center"/>
          </w:tcPr>
          <w:p w14:paraId="304CC8DB">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1:1</w:t>
            </w:r>
          </w:p>
        </w:tc>
        <w:tc>
          <w:tcPr>
            <w:tcW w:w="1414" w:type="pct"/>
            <w:noWrap w:val="0"/>
            <w:vAlign w:val="center"/>
          </w:tcPr>
          <w:p w14:paraId="6B8B48EF">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2</w:t>
            </w:r>
            <w:r>
              <w:rPr>
                <w:rFonts w:hint="eastAsia" w:ascii="Times New Roman" w:hAnsi="Times New Roman" w:cs="Times New Roman"/>
                <w:b w:val="0"/>
                <w:bCs w:val="0"/>
                <w:sz w:val="21"/>
                <w:szCs w:val="21"/>
                <w:vertAlign w:val="baseline"/>
                <w:lang w:val="en-US" w:eastAsia="zh-CN"/>
              </w:rPr>
              <w:t>:</w:t>
            </w:r>
            <w:r>
              <w:rPr>
                <w:rFonts w:hint="default" w:ascii="Times New Roman" w:hAnsi="Times New Roman" w:cs="Times New Roman"/>
                <w:b w:val="0"/>
                <w:bCs w:val="0"/>
                <w:sz w:val="21"/>
                <w:szCs w:val="21"/>
                <w:vertAlign w:val="baseline"/>
                <w:lang w:val="en-US" w:eastAsia="zh-CN"/>
              </w:rPr>
              <w:t>1</w:t>
            </w:r>
          </w:p>
        </w:tc>
        <w:tc>
          <w:tcPr>
            <w:tcW w:w="1080" w:type="pct"/>
            <w:noWrap w:val="0"/>
            <w:vAlign w:val="center"/>
          </w:tcPr>
          <w:p w14:paraId="29B844F6">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3:1</w:t>
            </w:r>
          </w:p>
        </w:tc>
      </w:tr>
      <w:tr w14:paraId="48EDBD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26" w:type="pct"/>
            <w:noWrap w:val="0"/>
            <w:vAlign w:val="center"/>
          </w:tcPr>
          <w:p w14:paraId="09F97683">
            <w:pPr>
              <w:numPr>
                <w:ilvl w:val="0"/>
                <w:numId w:val="0"/>
              </w:numPr>
              <w:spacing w:line="360" w:lineRule="auto"/>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200穴</w:t>
            </w:r>
          </w:p>
        </w:tc>
        <w:tc>
          <w:tcPr>
            <w:tcW w:w="1079" w:type="pct"/>
            <w:noWrap w:val="0"/>
            <w:vAlign w:val="center"/>
          </w:tcPr>
          <w:p w14:paraId="43EAA633">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1:1</w:t>
            </w:r>
          </w:p>
        </w:tc>
        <w:tc>
          <w:tcPr>
            <w:tcW w:w="1414" w:type="pct"/>
            <w:noWrap w:val="0"/>
            <w:vAlign w:val="center"/>
          </w:tcPr>
          <w:p w14:paraId="19A1FB35">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2</w:t>
            </w:r>
            <w:r>
              <w:rPr>
                <w:rFonts w:hint="eastAsia" w:ascii="Times New Roman" w:hAnsi="Times New Roman" w:cs="Times New Roman"/>
                <w:b w:val="0"/>
                <w:bCs w:val="0"/>
                <w:sz w:val="21"/>
                <w:szCs w:val="21"/>
                <w:vertAlign w:val="baseline"/>
                <w:lang w:val="en-US" w:eastAsia="zh-CN"/>
              </w:rPr>
              <w:t>:</w:t>
            </w:r>
            <w:r>
              <w:rPr>
                <w:rFonts w:hint="default" w:ascii="Times New Roman" w:hAnsi="Times New Roman" w:cs="Times New Roman"/>
                <w:b w:val="0"/>
                <w:bCs w:val="0"/>
                <w:sz w:val="21"/>
                <w:szCs w:val="21"/>
                <w:vertAlign w:val="baseline"/>
                <w:lang w:val="en-US" w:eastAsia="zh-CN"/>
              </w:rPr>
              <w:t>1</w:t>
            </w:r>
          </w:p>
        </w:tc>
        <w:tc>
          <w:tcPr>
            <w:tcW w:w="1080" w:type="pct"/>
            <w:noWrap w:val="0"/>
            <w:vAlign w:val="center"/>
          </w:tcPr>
          <w:p w14:paraId="30F1604D">
            <w:pPr>
              <w:numPr>
                <w:ilvl w:val="0"/>
                <w:numId w:val="0"/>
              </w:numPr>
              <w:spacing w:line="360" w:lineRule="auto"/>
              <w:ind w:left="0" w:leftChars="0" w:firstLine="0" w:firstLineChars="0"/>
              <w:jc w:val="center"/>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cs="Times New Roman"/>
                <w:b w:val="0"/>
                <w:bCs w:val="0"/>
                <w:sz w:val="21"/>
                <w:szCs w:val="21"/>
                <w:vertAlign w:val="baseline"/>
                <w:lang w:val="en-US" w:eastAsia="zh-CN"/>
              </w:rPr>
              <w:t>3:1</w:t>
            </w:r>
          </w:p>
        </w:tc>
      </w:tr>
    </w:tbl>
    <w:p w14:paraId="7E98262C">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2.2.3</w:t>
      </w:r>
      <w:r>
        <w:rPr>
          <w:rStyle w:val="8"/>
          <w:rFonts w:hint="eastAsia" w:eastAsia="方正仿宋_GB2312" w:cstheme="minorBidi"/>
          <w:b/>
          <w:sz w:val="32"/>
          <w:szCs w:val="32"/>
        </w:rPr>
        <w:t>计算公式</w:t>
      </w:r>
    </w:p>
    <w:p w14:paraId="05A80204">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根冠比=地下部鲜重（干重）/地上部鲜重（干重）</w:t>
      </w:r>
    </w:p>
    <w:p w14:paraId="07044436">
      <w:pPr>
        <w:spacing w:before="156" w:beforeLines="50" w:after="156" w:afterLines="50"/>
        <w:ind w:firstLine="640" w:firstLineChars="200"/>
        <w:outlineLvl w:val="2"/>
        <w:rPr>
          <w:rStyle w:val="8"/>
          <w:rFonts w:hint="eastAsia" w:eastAsia="方正仿宋_GB2312" w:cstheme="minorBidi"/>
          <w:b/>
          <w:sz w:val="32"/>
          <w:szCs w:val="32"/>
        </w:rPr>
      </w:pPr>
      <w:r>
        <w:rPr>
          <w:rStyle w:val="8"/>
          <w:rFonts w:hint="eastAsia" w:eastAsia="方正仿宋_GB2312" w:cstheme="minorBidi"/>
          <w:b w:val="0"/>
          <w:bCs/>
          <w:sz w:val="32"/>
          <w:szCs w:val="32"/>
        </w:rPr>
        <w:t>壮苗指数=茎粗/株高×全株干重</w:t>
      </w:r>
    </w:p>
    <w:p w14:paraId="7A313BAA">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2.3</w:t>
      </w:r>
      <w:r>
        <w:rPr>
          <w:rStyle w:val="8"/>
          <w:rFonts w:hint="eastAsia" w:eastAsia="方正仿宋_GB2312" w:cstheme="minorBidi"/>
          <w:b/>
          <w:sz w:val="32"/>
          <w:szCs w:val="32"/>
        </w:rPr>
        <w:t>结果与分析</w:t>
      </w:r>
    </w:p>
    <w:p w14:paraId="760F44A1">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2.3.1</w:t>
      </w:r>
      <w:r>
        <w:rPr>
          <w:rStyle w:val="8"/>
          <w:rFonts w:hint="eastAsia" w:eastAsia="方正仿宋_GB2312" w:cstheme="minorBidi"/>
          <w:b/>
          <w:sz w:val="32"/>
          <w:szCs w:val="32"/>
        </w:rPr>
        <w:t>基质育苗基质配比筛选</w:t>
      </w:r>
    </w:p>
    <w:p w14:paraId="7E5E617B">
      <w:pPr>
        <w:spacing w:before="156" w:beforeLines="50" w:after="156" w:afterLines="50"/>
        <w:ind w:firstLine="640" w:firstLineChars="200"/>
        <w:outlineLvl w:val="2"/>
        <w:rPr>
          <w:rStyle w:val="8"/>
          <w:rFonts w:hint="eastAsia" w:eastAsia="方正仿宋_GB2312" w:cstheme="minorBidi"/>
          <w:b/>
          <w:sz w:val="32"/>
          <w:szCs w:val="32"/>
        </w:rPr>
      </w:pPr>
      <w:r>
        <w:rPr>
          <w:rStyle w:val="8"/>
          <w:rFonts w:hint="eastAsia" w:eastAsia="方正仿宋_GB2312" w:cstheme="minorBidi"/>
          <w:b w:val="0"/>
          <w:bCs/>
          <w:sz w:val="32"/>
          <w:szCs w:val="32"/>
        </w:rPr>
        <w:t>由图</w:t>
      </w:r>
      <w:r>
        <w:rPr>
          <w:rStyle w:val="8"/>
          <w:rFonts w:hint="eastAsia" w:eastAsia="方正仿宋_GB2312" w:cstheme="minorBidi"/>
          <w:b w:val="0"/>
          <w:bCs/>
          <w:sz w:val="32"/>
          <w:szCs w:val="32"/>
          <w:lang w:val="en-US" w:eastAsia="zh-CN"/>
        </w:rPr>
        <w:t>7</w:t>
      </w:r>
      <w:r>
        <w:rPr>
          <w:rStyle w:val="8"/>
          <w:rFonts w:hint="eastAsia" w:eastAsia="方正仿宋_GB2312" w:cstheme="minorBidi"/>
          <w:b w:val="0"/>
          <w:bCs/>
          <w:sz w:val="32"/>
          <w:szCs w:val="32"/>
        </w:rPr>
        <w:t>可知，不同规格穴盘和基质配比对莴苣出苗率存在显著性差异。其中叶用莴苣播种在72穴（草炭+珍珠岩1:1和2:1）和105穴（草炭+珍珠岩1:1）时出苗率最高，分别为95.83%、92.59%和93.33%，出苗率均高于90%；其次72穴（草炭+珍珠岩3:</w:t>
      </w:r>
      <w:r>
        <w:rPr>
          <w:rStyle w:val="8"/>
          <w:rFonts w:hint="eastAsia" w:eastAsia="方正仿宋_GB2312" w:cstheme="minorBidi"/>
          <w:b w:val="0"/>
          <w:bCs/>
          <w:sz w:val="32"/>
          <w:szCs w:val="32"/>
          <w:lang w:eastAsia="zh-CN"/>
        </w:rPr>
        <w:t>1）</w:t>
      </w:r>
      <w:r>
        <w:rPr>
          <w:rStyle w:val="8"/>
          <w:rFonts w:hint="eastAsia" w:eastAsia="方正仿宋_GB2312" w:cstheme="minorBidi"/>
          <w:b w:val="0"/>
          <w:bCs/>
          <w:sz w:val="32"/>
          <w:szCs w:val="32"/>
        </w:rPr>
        <w:t>105穴（草炭+珍珠岩3:</w:t>
      </w:r>
      <w:r>
        <w:rPr>
          <w:rStyle w:val="8"/>
          <w:rFonts w:hint="eastAsia" w:eastAsia="方正仿宋_GB2312" w:cstheme="minorBidi"/>
          <w:b w:val="0"/>
          <w:bCs/>
          <w:sz w:val="32"/>
          <w:szCs w:val="32"/>
          <w:lang w:eastAsia="zh-CN"/>
        </w:rPr>
        <w:t>1）</w:t>
      </w:r>
      <w:r>
        <w:rPr>
          <w:rStyle w:val="8"/>
          <w:rFonts w:hint="eastAsia" w:eastAsia="方正仿宋_GB2312" w:cstheme="minorBidi"/>
          <w:b w:val="0"/>
          <w:bCs/>
          <w:sz w:val="32"/>
          <w:szCs w:val="32"/>
        </w:rPr>
        <w:t>128穴（草炭+珍珠岩1:1）的出苗率均高于80%，出苗率分别为87.96%、81.59%、80.99%，其余处理均低于80%，说明适合叶用莴苣的穴盘规格72穴、105穴和128穴。此外，72穴播种叶用莴苣的基质配比在草炭+珍珠岩1:1或2:1或3:1，105穴在草炭+珍珠岩1:1或3:1，128穴在草炭+珍珠岩1:1时，叶用莴苣出苗率均高于80%，说明叶用莴苣的基质配比在草炭+珍珠岩1:1时较为适合。</w:t>
      </w:r>
    </w:p>
    <w:p w14:paraId="68C7DA13">
      <w:pPr>
        <w:spacing w:before="156" w:beforeLines="50" w:after="156" w:afterLines="50"/>
        <w:ind w:firstLine="640" w:firstLineChars="200"/>
        <w:outlineLvl w:val="2"/>
        <w:rPr>
          <w:rStyle w:val="8"/>
          <w:rFonts w:hint="eastAsia" w:eastAsia="方正仿宋_GB2312" w:cstheme="minorBidi"/>
          <w:b/>
          <w:sz w:val="32"/>
          <w:szCs w:val="32"/>
        </w:rPr>
      </w:pPr>
      <w:r>
        <w:rPr>
          <w:rStyle w:val="8"/>
          <w:rFonts w:hint="eastAsia" w:eastAsia="方正仿宋_GB2312" w:cstheme="minorBidi"/>
          <w:b w:val="0"/>
          <w:bCs/>
          <w:sz w:val="32"/>
          <w:szCs w:val="32"/>
        </w:rPr>
        <w:t>由图</w:t>
      </w:r>
      <w:r>
        <w:rPr>
          <w:rStyle w:val="8"/>
          <w:rFonts w:hint="eastAsia" w:eastAsia="方正仿宋_GB2312" w:cstheme="minorBidi"/>
          <w:b w:val="0"/>
          <w:bCs/>
          <w:sz w:val="32"/>
          <w:szCs w:val="32"/>
          <w:lang w:val="en-US" w:eastAsia="zh-CN"/>
        </w:rPr>
        <w:t>8</w:t>
      </w:r>
      <w:r>
        <w:rPr>
          <w:rStyle w:val="8"/>
          <w:rFonts w:hint="eastAsia" w:eastAsia="方正仿宋_GB2312" w:cstheme="minorBidi"/>
          <w:b w:val="0"/>
          <w:bCs/>
          <w:sz w:val="32"/>
          <w:szCs w:val="32"/>
        </w:rPr>
        <w:t>可知，茎用莴苣播种在72穴（草炭+珍珠岩1:1时出苗率最高，出苗率为83.33%；其次72穴（草炭+珍珠岩2:</w:t>
      </w:r>
      <w:r>
        <w:rPr>
          <w:rStyle w:val="8"/>
          <w:rFonts w:hint="eastAsia" w:eastAsia="方正仿宋_GB2312" w:cstheme="minorBidi"/>
          <w:b w:val="0"/>
          <w:bCs/>
          <w:sz w:val="32"/>
          <w:szCs w:val="32"/>
          <w:lang w:eastAsia="zh-CN"/>
        </w:rPr>
        <w:t>1）</w:t>
      </w:r>
      <w:r>
        <w:rPr>
          <w:rStyle w:val="8"/>
          <w:rFonts w:hint="eastAsia" w:eastAsia="方正仿宋_GB2312" w:cstheme="minorBidi"/>
          <w:b w:val="0"/>
          <w:bCs/>
          <w:sz w:val="32"/>
          <w:szCs w:val="32"/>
        </w:rPr>
        <w:t>105穴（草炭+珍珠岩1:1）的出苗率均高于75%，出苗率分别为79.63%、79.05%，其余处理均低于75%，说明适合茎用莴苣的穴盘规格72穴、105穴。72穴播种适合茎用莴苣的基质配比在草炭+珍珠岩1:1或2:1，105穴在草炭+珍珠岩1:1时，茎用莴苣出苗率均高于75%，说明茎用莴苣的基质配比在草炭+珍珠岩1:1时较为适合。</w:t>
      </w:r>
    </w:p>
    <w:p w14:paraId="5EC8612B">
      <w:pPr>
        <w:spacing w:before="156" w:beforeLines="50" w:after="156" w:afterLines="50"/>
        <w:jc w:val="center"/>
        <w:outlineLvl w:val="2"/>
        <w:rPr>
          <w:rStyle w:val="8"/>
          <w:rFonts w:hint="eastAsia" w:ascii="黑体" w:hAnsi="黑体" w:eastAsia="黑体" w:cs="黑体"/>
          <w:b w:val="0"/>
          <w:bCs/>
          <w:sz w:val="21"/>
          <w:szCs w:val="21"/>
        </w:rPr>
      </w:pPr>
      <w:r>
        <w:rPr>
          <w:rFonts w:hint="eastAsia"/>
          <w:b w:val="0"/>
          <w:bCs w:val="0"/>
          <w:sz w:val="24"/>
          <w:szCs w:val="32"/>
          <w:lang w:val="en-US" w:eastAsia="zh-CN"/>
        </w:rPr>
        <w:drawing>
          <wp:inline distT="0" distB="0" distL="114300" distR="114300">
            <wp:extent cx="5205095" cy="3959860"/>
            <wp:effectExtent l="0" t="0" r="1905" b="2540"/>
            <wp:docPr id="16" name="图片 16" descr="Grap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Graph5"/>
                    <pic:cNvPicPr>
                      <a:picLocks noChangeAspect="1"/>
                    </pic:cNvPicPr>
                  </pic:nvPicPr>
                  <pic:blipFill>
                    <a:blip r:embed="rId19"/>
                    <a:stretch>
                      <a:fillRect/>
                    </a:stretch>
                  </pic:blipFill>
                  <pic:spPr>
                    <a:xfrm>
                      <a:off x="0" y="0"/>
                      <a:ext cx="5205095" cy="3959860"/>
                    </a:xfrm>
                    <a:prstGeom prst="rect">
                      <a:avLst/>
                    </a:prstGeom>
                    <a:noFill/>
                    <a:ln>
                      <a:noFill/>
                    </a:ln>
                  </pic:spPr>
                </pic:pic>
              </a:graphicData>
            </a:graphic>
          </wp:inline>
        </w:drawing>
      </w:r>
    </w:p>
    <w:p w14:paraId="4251C86D">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7</w:t>
      </w:r>
      <w:r>
        <w:rPr>
          <w:rStyle w:val="8"/>
          <w:rFonts w:hint="eastAsia" w:ascii="黑体" w:hAnsi="黑体" w:eastAsia="黑体" w:cs="黑体"/>
          <w:b w:val="0"/>
          <w:bCs/>
          <w:sz w:val="21"/>
          <w:szCs w:val="21"/>
        </w:rPr>
        <w:t xml:space="preserve"> 不同规格穴盘和基质配比下叶用莴苣的出苗数和出苗率统计</w:t>
      </w:r>
    </w:p>
    <w:p w14:paraId="07E4A9C7">
      <w:pPr>
        <w:spacing w:before="156" w:beforeLines="50" w:after="156" w:afterLines="50"/>
        <w:jc w:val="center"/>
        <w:outlineLvl w:val="2"/>
        <w:rPr>
          <w:rStyle w:val="8"/>
          <w:rFonts w:hint="eastAsia" w:ascii="黑体" w:hAnsi="黑体" w:eastAsia="黑体" w:cs="黑体"/>
          <w:b w:val="0"/>
          <w:bCs/>
          <w:sz w:val="21"/>
          <w:szCs w:val="21"/>
        </w:rPr>
      </w:pPr>
      <w:r>
        <w:rPr>
          <w:rFonts w:hint="eastAsia"/>
          <w:b w:val="0"/>
          <w:bCs w:val="0"/>
          <w:sz w:val="24"/>
          <w:szCs w:val="32"/>
          <w:lang w:val="en-US" w:eastAsia="zh-CN"/>
        </w:rPr>
        <w:drawing>
          <wp:inline distT="0" distB="0" distL="114300" distR="114300">
            <wp:extent cx="5200015" cy="3959860"/>
            <wp:effectExtent l="0" t="0" r="6985" b="2540"/>
            <wp:docPr id="17" name="图片 17" descr="Grap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Graph6"/>
                    <pic:cNvPicPr>
                      <a:picLocks noChangeAspect="1"/>
                    </pic:cNvPicPr>
                  </pic:nvPicPr>
                  <pic:blipFill>
                    <a:blip r:embed="rId20"/>
                    <a:stretch>
                      <a:fillRect/>
                    </a:stretch>
                  </pic:blipFill>
                  <pic:spPr>
                    <a:xfrm>
                      <a:off x="0" y="0"/>
                      <a:ext cx="5200015" cy="3959860"/>
                    </a:xfrm>
                    <a:prstGeom prst="rect">
                      <a:avLst/>
                    </a:prstGeom>
                    <a:noFill/>
                    <a:ln>
                      <a:noFill/>
                    </a:ln>
                  </pic:spPr>
                </pic:pic>
              </a:graphicData>
            </a:graphic>
          </wp:inline>
        </w:drawing>
      </w:r>
    </w:p>
    <w:p w14:paraId="09536527">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图</w:t>
      </w:r>
      <w:r>
        <w:rPr>
          <w:rStyle w:val="8"/>
          <w:rFonts w:hint="eastAsia" w:ascii="黑体" w:hAnsi="黑体" w:eastAsia="黑体" w:cs="黑体"/>
          <w:b w:val="0"/>
          <w:bCs/>
          <w:sz w:val="21"/>
          <w:szCs w:val="21"/>
          <w:lang w:val="en-US" w:eastAsia="zh-CN"/>
        </w:rPr>
        <w:t>8</w:t>
      </w:r>
      <w:r>
        <w:rPr>
          <w:rStyle w:val="8"/>
          <w:rFonts w:hint="eastAsia" w:ascii="黑体" w:hAnsi="黑体" w:eastAsia="黑体" w:cs="黑体"/>
          <w:b w:val="0"/>
          <w:bCs/>
          <w:sz w:val="21"/>
          <w:szCs w:val="21"/>
        </w:rPr>
        <w:t xml:space="preserve"> 不同规格穴盘和基质配比下茎用莴苣的出苗数和出苗率统计</w:t>
      </w:r>
    </w:p>
    <w:p w14:paraId="77411830">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2.3.2</w:t>
      </w:r>
      <w:r>
        <w:rPr>
          <w:rStyle w:val="8"/>
          <w:rFonts w:hint="eastAsia" w:eastAsia="方正仿宋_GB2312" w:cstheme="minorBidi"/>
          <w:b/>
          <w:sz w:val="32"/>
          <w:szCs w:val="32"/>
        </w:rPr>
        <w:t>基质育苗穴盘规格筛选</w:t>
      </w:r>
    </w:p>
    <w:p w14:paraId="25C27522">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由表2可知，72穴叶用莴苣幼苗的株高、茎粗、株幅、最大叶长与105穴叶用莴苣幼苗之间存在显著性差异，而最大叶长、地上部鲜重、地上部干重、地下部鲜重、地下部干重间存在显著性差异，且72穴根冠比显著高于105穴，说明不同规格穴盘对叶用莴苣幼苗生长影响较大；同时，72穴壮苗指数显著高于105穴，因此适合叶用莴苣的穴盘规格为72穴。</w:t>
      </w:r>
    </w:p>
    <w:p w14:paraId="6F7FE8E6">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同样地，72穴茎用莴苣幼苗除株高与105穴茎用莴苣间存在显著性差异之外，其余生长指标在两种规格穴盘中无显著性差异，且72穴根冠比和壮苗指数相差不大，说明不同规格穴盘对茎用莴苣幼苗生长影响较小。</w:t>
      </w:r>
    </w:p>
    <w:p w14:paraId="66C1518B">
      <w:pPr>
        <w:spacing w:before="156" w:beforeLines="50" w:after="156" w:afterLines="50"/>
        <w:jc w:val="center"/>
        <w:outlineLvl w:val="2"/>
        <w:rPr>
          <w:rStyle w:val="8"/>
          <w:rFonts w:hint="eastAsia" w:ascii="黑体" w:hAnsi="黑体" w:eastAsia="黑体" w:cs="黑体"/>
          <w:b w:val="0"/>
          <w:bCs/>
          <w:sz w:val="21"/>
          <w:szCs w:val="21"/>
        </w:rPr>
      </w:pPr>
      <w:r>
        <w:rPr>
          <w:rStyle w:val="8"/>
          <w:rFonts w:hint="eastAsia" w:ascii="黑体" w:hAnsi="黑体" w:eastAsia="黑体" w:cs="黑体"/>
          <w:b w:val="0"/>
          <w:bCs/>
          <w:sz w:val="21"/>
          <w:szCs w:val="21"/>
        </w:rPr>
        <w:t>表2 不同穴盘规格莴苣幼苗生长指标统计</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3"/>
        <w:gridCol w:w="1241"/>
        <w:gridCol w:w="1294"/>
        <w:gridCol w:w="1160"/>
        <w:gridCol w:w="1288"/>
        <w:gridCol w:w="1436"/>
        <w:gridCol w:w="1380"/>
      </w:tblGrid>
      <w:tr w14:paraId="00E83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noWrap w:val="0"/>
            <w:vAlign w:val="center"/>
          </w:tcPr>
          <w:p w14:paraId="6D50309E">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莴苣</w:t>
            </w:r>
          </w:p>
        </w:tc>
        <w:tc>
          <w:tcPr>
            <w:tcW w:w="0" w:type="auto"/>
            <w:tcBorders>
              <w:top w:val="single" w:color="auto" w:sz="4" w:space="0"/>
              <w:bottom w:val="single" w:color="auto" w:sz="4" w:space="0"/>
            </w:tcBorders>
            <w:noWrap w:val="0"/>
            <w:vAlign w:val="center"/>
          </w:tcPr>
          <w:p w14:paraId="613BFFFE">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穴盘规格（穴）</w:t>
            </w:r>
          </w:p>
        </w:tc>
        <w:tc>
          <w:tcPr>
            <w:tcW w:w="0" w:type="auto"/>
            <w:tcBorders>
              <w:top w:val="single" w:color="auto" w:sz="4" w:space="0"/>
              <w:bottom w:val="single" w:color="auto" w:sz="4" w:space="0"/>
            </w:tcBorders>
            <w:noWrap w:val="0"/>
            <w:vAlign w:val="center"/>
          </w:tcPr>
          <w:p w14:paraId="15F5732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株高（cm）</w:t>
            </w:r>
          </w:p>
        </w:tc>
        <w:tc>
          <w:tcPr>
            <w:tcW w:w="0" w:type="auto"/>
            <w:tcBorders>
              <w:top w:val="single" w:color="auto" w:sz="4" w:space="0"/>
              <w:bottom w:val="single" w:color="auto" w:sz="4" w:space="0"/>
            </w:tcBorders>
            <w:noWrap w:val="0"/>
            <w:vAlign w:val="center"/>
          </w:tcPr>
          <w:p w14:paraId="4036427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茎粗(mm)</w:t>
            </w:r>
          </w:p>
        </w:tc>
        <w:tc>
          <w:tcPr>
            <w:tcW w:w="0" w:type="auto"/>
            <w:tcBorders>
              <w:top w:val="single" w:color="auto" w:sz="4" w:space="0"/>
              <w:bottom w:val="single" w:color="auto" w:sz="4" w:space="0"/>
            </w:tcBorders>
            <w:noWrap w:val="0"/>
            <w:vAlign w:val="center"/>
          </w:tcPr>
          <w:p w14:paraId="2421D3C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株幅（cm）</w:t>
            </w:r>
          </w:p>
        </w:tc>
        <w:tc>
          <w:tcPr>
            <w:tcW w:w="0" w:type="auto"/>
            <w:tcBorders>
              <w:top w:val="single" w:color="auto" w:sz="4" w:space="0"/>
              <w:bottom w:val="single" w:color="auto" w:sz="4" w:space="0"/>
            </w:tcBorders>
            <w:noWrap w:val="0"/>
            <w:vAlign w:val="center"/>
          </w:tcPr>
          <w:p w14:paraId="2B5CFC42">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最大叶长（cm）</w:t>
            </w:r>
          </w:p>
        </w:tc>
        <w:tc>
          <w:tcPr>
            <w:tcW w:w="0" w:type="auto"/>
            <w:tcBorders>
              <w:top w:val="single" w:color="auto" w:sz="4" w:space="0"/>
              <w:bottom w:val="single" w:color="auto" w:sz="4" w:space="0"/>
            </w:tcBorders>
            <w:noWrap w:val="0"/>
            <w:vAlign w:val="center"/>
          </w:tcPr>
          <w:p w14:paraId="6B21D1BF">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最大叶宽（cm）</w:t>
            </w:r>
          </w:p>
        </w:tc>
      </w:tr>
      <w:tr w14:paraId="5486A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tcBorders>
            <w:noWrap w:val="0"/>
            <w:vAlign w:val="center"/>
          </w:tcPr>
          <w:p w14:paraId="22C6DEAD">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叶用莴苣</w:t>
            </w:r>
          </w:p>
        </w:tc>
        <w:tc>
          <w:tcPr>
            <w:tcW w:w="0" w:type="auto"/>
            <w:tcBorders>
              <w:top w:val="single" w:color="auto" w:sz="4" w:space="0"/>
            </w:tcBorders>
            <w:noWrap w:val="0"/>
            <w:vAlign w:val="center"/>
          </w:tcPr>
          <w:p w14:paraId="047440C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72</w:t>
            </w:r>
          </w:p>
        </w:tc>
        <w:tc>
          <w:tcPr>
            <w:tcW w:w="0" w:type="auto"/>
            <w:tcBorders>
              <w:top w:val="single" w:color="auto" w:sz="4" w:space="0"/>
            </w:tcBorders>
            <w:noWrap w:val="0"/>
            <w:vAlign w:val="center"/>
          </w:tcPr>
          <w:p w14:paraId="770FE90F">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10.40</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0.45c</w:t>
            </w:r>
          </w:p>
        </w:tc>
        <w:tc>
          <w:tcPr>
            <w:tcW w:w="0" w:type="auto"/>
            <w:tcBorders>
              <w:top w:val="single" w:color="auto" w:sz="4" w:space="0"/>
            </w:tcBorders>
            <w:noWrap w:val="0"/>
            <w:vAlign w:val="center"/>
          </w:tcPr>
          <w:p w14:paraId="30113BC4">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2.80</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0.58a</w:t>
            </w:r>
          </w:p>
        </w:tc>
        <w:tc>
          <w:tcPr>
            <w:tcW w:w="0" w:type="auto"/>
            <w:tcBorders>
              <w:top w:val="single" w:color="auto" w:sz="4" w:space="0"/>
            </w:tcBorders>
            <w:noWrap w:val="0"/>
            <w:vAlign w:val="center"/>
          </w:tcPr>
          <w:p w14:paraId="05C97BE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7.09</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1.30 b</w:t>
            </w:r>
          </w:p>
        </w:tc>
        <w:tc>
          <w:tcPr>
            <w:tcW w:w="0" w:type="auto"/>
            <w:tcBorders>
              <w:top w:val="single" w:color="auto" w:sz="4" w:space="0"/>
            </w:tcBorders>
            <w:noWrap w:val="0"/>
            <w:vAlign w:val="center"/>
          </w:tcPr>
          <w:p w14:paraId="4D28D558">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8.87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0.91 a</w:t>
            </w:r>
          </w:p>
        </w:tc>
        <w:tc>
          <w:tcPr>
            <w:tcW w:w="0" w:type="auto"/>
            <w:tcBorders>
              <w:top w:val="single" w:color="auto" w:sz="4" w:space="0"/>
            </w:tcBorders>
            <w:noWrap w:val="0"/>
            <w:vAlign w:val="center"/>
          </w:tcPr>
          <w:p w14:paraId="43538B8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3.10</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0.36 a</w:t>
            </w:r>
          </w:p>
        </w:tc>
      </w:tr>
      <w:tr w14:paraId="02AD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noWrap w:val="0"/>
            <w:vAlign w:val="center"/>
          </w:tcPr>
          <w:p w14:paraId="0806E8F2">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p>
        </w:tc>
        <w:tc>
          <w:tcPr>
            <w:tcW w:w="0" w:type="auto"/>
            <w:noWrap w:val="0"/>
            <w:vAlign w:val="center"/>
          </w:tcPr>
          <w:p w14:paraId="5B3416B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105</w:t>
            </w:r>
          </w:p>
        </w:tc>
        <w:tc>
          <w:tcPr>
            <w:tcW w:w="0" w:type="auto"/>
            <w:noWrap w:val="0"/>
            <w:vAlign w:val="center"/>
          </w:tcPr>
          <w:p w14:paraId="02C63AC0">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9.69</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1.08c</w:t>
            </w:r>
          </w:p>
        </w:tc>
        <w:tc>
          <w:tcPr>
            <w:tcW w:w="0" w:type="auto"/>
            <w:noWrap w:val="0"/>
            <w:vAlign w:val="center"/>
          </w:tcPr>
          <w:p w14:paraId="06E3C04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2.48</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0.45a</w:t>
            </w:r>
          </w:p>
        </w:tc>
        <w:tc>
          <w:tcPr>
            <w:tcW w:w="0" w:type="auto"/>
            <w:noWrap w:val="0"/>
            <w:vAlign w:val="center"/>
          </w:tcPr>
          <w:p w14:paraId="244F532C">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6.71</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1.27 b</w:t>
            </w:r>
          </w:p>
        </w:tc>
        <w:tc>
          <w:tcPr>
            <w:tcW w:w="0" w:type="auto"/>
            <w:noWrap w:val="0"/>
            <w:vAlign w:val="center"/>
          </w:tcPr>
          <w:p w14:paraId="34C162E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8.22</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1.28 a</w:t>
            </w:r>
          </w:p>
        </w:tc>
        <w:tc>
          <w:tcPr>
            <w:tcW w:w="0" w:type="auto"/>
            <w:noWrap w:val="0"/>
            <w:vAlign w:val="center"/>
          </w:tcPr>
          <w:p w14:paraId="40E5A3DF">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2.66</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0.50 b</w:t>
            </w:r>
          </w:p>
        </w:tc>
      </w:tr>
      <w:tr w14:paraId="1E0A0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restart"/>
            <w:noWrap w:val="0"/>
            <w:vAlign w:val="center"/>
          </w:tcPr>
          <w:p w14:paraId="6ADD5618">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茎用莴苣</w:t>
            </w:r>
          </w:p>
        </w:tc>
        <w:tc>
          <w:tcPr>
            <w:tcW w:w="0" w:type="auto"/>
            <w:noWrap w:val="0"/>
            <w:vAlign w:val="center"/>
          </w:tcPr>
          <w:p w14:paraId="11CC60B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72</w:t>
            </w:r>
          </w:p>
        </w:tc>
        <w:tc>
          <w:tcPr>
            <w:tcW w:w="0" w:type="auto"/>
            <w:noWrap w:val="0"/>
            <w:vAlign w:val="center"/>
          </w:tcPr>
          <w:p w14:paraId="038A87E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12.88</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1.26a</w:t>
            </w:r>
          </w:p>
        </w:tc>
        <w:tc>
          <w:tcPr>
            <w:tcW w:w="0" w:type="auto"/>
            <w:noWrap w:val="0"/>
            <w:vAlign w:val="center"/>
          </w:tcPr>
          <w:p w14:paraId="0A5BEC6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2.79</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0.46a</w:t>
            </w:r>
          </w:p>
        </w:tc>
        <w:tc>
          <w:tcPr>
            <w:tcW w:w="0" w:type="auto"/>
            <w:noWrap w:val="0"/>
            <w:vAlign w:val="center"/>
          </w:tcPr>
          <w:p w14:paraId="4A3C033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10.32</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1.85a</w:t>
            </w:r>
          </w:p>
        </w:tc>
        <w:tc>
          <w:tcPr>
            <w:tcW w:w="0" w:type="auto"/>
            <w:noWrap w:val="0"/>
            <w:vAlign w:val="center"/>
          </w:tcPr>
          <w:p w14:paraId="761CE52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11.13</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1.22 a</w:t>
            </w:r>
          </w:p>
        </w:tc>
        <w:tc>
          <w:tcPr>
            <w:tcW w:w="0" w:type="auto"/>
            <w:noWrap w:val="0"/>
            <w:vAlign w:val="center"/>
          </w:tcPr>
          <w:p w14:paraId="1038A02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2.77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0.40 b</w:t>
            </w:r>
          </w:p>
        </w:tc>
      </w:tr>
      <w:tr w14:paraId="2F3C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noWrap w:val="0"/>
            <w:vAlign w:val="center"/>
          </w:tcPr>
          <w:p w14:paraId="472C772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p>
        </w:tc>
        <w:tc>
          <w:tcPr>
            <w:tcW w:w="0" w:type="auto"/>
            <w:tcBorders>
              <w:bottom w:val="single" w:color="auto" w:sz="4" w:space="0"/>
            </w:tcBorders>
            <w:noWrap w:val="0"/>
            <w:vAlign w:val="center"/>
          </w:tcPr>
          <w:p w14:paraId="76529FD4">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105</w:t>
            </w:r>
          </w:p>
        </w:tc>
        <w:tc>
          <w:tcPr>
            <w:tcW w:w="0" w:type="auto"/>
            <w:tcBorders>
              <w:bottom w:val="single" w:color="auto" w:sz="4" w:space="0"/>
            </w:tcBorders>
            <w:noWrap w:val="0"/>
            <w:vAlign w:val="center"/>
          </w:tcPr>
          <w:p w14:paraId="59D1545C">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11.51</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1.55b</w:t>
            </w:r>
          </w:p>
        </w:tc>
        <w:tc>
          <w:tcPr>
            <w:tcW w:w="0" w:type="auto"/>
            <w:tcBorders>
              <w:bottom w:val="single" w:color="auto" w:sz="4" w:space="0"/>
            </w:tcBorders>
            <w:noWrap w:val="0"/>
            <w:vAlign w:val="center"/>
          </w:tcPr>
          <w:p w14:paraId="767C29C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2.54</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0.47a</w:t>
            </w:r>
          </w:p>
        </w:tc>
        <w:tc>
          <w:tcPr>
            <w:tcW w:w="0" w:type="auto"/>
            <w:tcBorders>
              <w:bottom w:val="single" w:color="auto" w:sz="4" w:space="0"/>
            </w:tcBorders>
            <w:noWrap w:val="0"/>
            <w:vAlign w:val="center"/>
          </w:tcPr>
          <w:p w14:paraId="40D8968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10.71</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2.75a</w:t>
            </w:r>
          </w:p>
        </w:tc>
        <w:tc>
          <w:tcPr>
            <w:tcW w:w="0" w:type="auto"/>
            <w:tcBorders>
              <w:bottom w:val="single" w:color="auto" w:sz="4" w:space="0"/>
            </w:tcBorders>
            <w:noWrap w:val="0"/>
            <w:vAlign w:val="center"/>
          </w:tcPr>
          <w:p w14:paraId="45F4386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10.37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1.51 a</w:t>
            </w:r>
          </w:p>
        </w:tc>
        <w:tc>
          <w:tcPr>
            <w:tcW w:w="0" w:type="auto"/>
            <w:tcBorders>
              <w:bottom w:val="single" w:color="auto" w:sz="4" w:space="0"/>
            </w:tcBorders>
            <w:noWrap w:val="0"/>
            <w:vAlign w:val="center"/>
          </w:tcPr>
          <w:p w14:paraId="1DBA82A9">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2.55</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0.33 b</w:t>
            </w:r>
          </w:p>
        </w:tc>
      </w:tr>
    </w:tbl>
    <w:p w14:paraId="5DE5E60E">
      <w:pPr>
        <w:numPr>
          <w:ilvl w:val="0"/>
          <w:numId w:val="0"/>
        </w:numPr>
        <w:spacing w:line="360" w:lineRule="auto"/>
        <w:jc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续表2 不同穴盘规格莴苣幼苗生长指标统计</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9"/>
        <w:gridCol w:w="889"/>
        <w:gridCol w:w="1255"/>
        <w:gridCol w:w="1434"/>
        <w:gridCol w:w="1289"/>
        <w:gridCol w:w="1377"/>
        <w:gridCol w:w="709"/>
        <w:gridCol w:w="797"/>
      </w:tblGrid>
      <w:tr w14:paraId="50EEF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9" w:type="dxa"/>
            <w:tcBorders>
              <w:top w:val="single" w:color="auto" w:sz="4" w:space="0"/>
              <w:bottom w:val="single" w:color="auto" w:sz="4" w:space="0"/>
            </w:tcBorders>
            <w:noWrap w:val="0"/>
            <w:vAlign w:val="center"/>
          </w:tcPr>
          <w:p w14:paraId="01DBCCC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莴苣</w:t>
            </w:r>
          </w:p>
        </w:tc>
        <w:tc>
          <w:tcPr>
            <w:tcW w:w="889" w:type="dxa"/>
            <w:tcBorders>
              <w:top w:val="single" w:color="auto" w:sz="4" w:space="0"/>
              <w:bottom w:val="single" w:color="auto" w:sz="4" w:space="0"/>
            </w:tcBorders>
            <w:noWrap w:val="0"/>
            <w:vAlign w:val="center"/>
          </w:tcPr>
          <w:p w14:paraId="69CD7E6A">
            <w:pPr>
              <w:numPr>
                <w:ilvl w:val="0"/>
                <w:numId w:val="0"/>
              </w:numPr>
              <w:spacing w:line="360" w:lineRule="auto"/>
              <w:ind w:left="0" w:leftChars="0" w:firstLine="0" w:firstLineChars="0"/>
              <w:jc w:val="center"/>
              <w:rPr>
                <w:rFonts w:hint="eastAsia"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穴盘规格（穴）</w:t>
            </w:r>
          </w:p>
        </w:tc>
        <w:tc>
          <w:tcPr>
            <w:tcW w:w="1255" w:type="dxa"/>
            <w:tcBorders>
              <w:top w:val="single" w:color="auto" w:sz="4" w:space="0"/>
              <w:bottom w:val="single" w:color="auto" w:sz="4" w:space="0"/>
            </w:tcBorders>
            <w:noWrap w:val="0"/>
            <w:vAlign w:val="center"/>
          </w:tcPr>
          <w:p w14:paraId="1272681F">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地上部鲜重（g）</w:t>
            </w:r>
          </w:p>
        </w:tc>
        <w:tc>
          <w:tcPr>
            <w:tcW w:w="1434" w:type="dxa"/>
            <w:tcBorders>
              <w:top w:val="single" w:color="auto" w:sz="4" w:space="0"/>
              <w:bottom w:val="single" w:color="auto" w:sz="4" w:space="0"/>
            </w:tcBorders>
            <w:noWrap w:val="0"/>
            <w:vAlign w:val="center"/>
          </w:tcPr>
          <w:p w14:paraId="21CE0B9C">
            <w:pPr>
              <w:numPr>
                <w:ilvl w:val="0"/>
                <w:numId w:val="0"/>
              </w:numPr>
              <w:spacing w:line="360" w:lineRule="auto"/>
              <w:jc w:val="center"/>
              <w:rPr>
                <w:rFonts w:hint="eastAsia"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地上部干重</w:t>
            </w:r>
          </w:p>
          <w:p w14:paraId="30A1A424">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（g）</w:t>
            </w:r>
          </w:p>
        </w:tc>
        <w:tc>
          <w:tcPr>
            <w:tcW w:w="1289" w:type="dxa"/>
            <w:tcBorders>
              <w:top w:val="single" w:color="auto" w:sz="4" w:space="0"/>
              <w:bottom w:val="single" w:color="auto" w:sz="4" w:space="0"/>
            </w:tcBorders>
            <w:noWrap w:val="0"/>
            <w:vAlign w:val="center"/>
          </w:tcPr>
          <w:p w14:paraId="328F2071">
            <w:pPr>
              <w:numPr>
                <w:ilvl w:val="0"/>
                <w:numId w:val="0"/>
              </w:numPr>
              <w:spacing w:line="360" w:lineRule="auto"/>
              <w:jc w:val="center"/>
              <w:rPr>
                <w:rFonts w:hint="eastAsia"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地下部鲜重</w:t>
            </w:r>
          </w:p>
          <w:p w14:paraId="54207E53">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（g）</w:t>
            </w:r>
          </w:p>
        </w:tc>
        <w:tc>
          <w:tcPr>
            <w:tcW w:w="1377" w:type="dxa"/>
            <w:tcBorders>
              <w:top w:val="single" w:color="auto" w:sz="4" w:space="0"/>
              <w:bottom w:val="single" w:color="auto" w:sz="4" w:space="0"/>
            </w:tcBorders>
            <w:noWrap w:val="0"/>
            <w:vAlign w:val="center"/>
          </w:tcPr>
          <w:p w14:paraId="25299018">
            <w:pPr>
              <w:numPr>
                <w:ilvl w:val="0"/>
                <w:numId w:val="0"/>
              </w:numPr>
              <w:spacing w:line="360" w:lineRule="auto"/>
              <w:jc w:val="center"/>
              <w:rPr>
                <w:rFonts w:hint="eastAsia"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地下部干重</w:t>
            </w:r>
          </w:p>
          <w:p w14:paraId="68056B6D">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（g）</w:t>
            </w:r>
          </w:p>
        </w:tc>
        <w:tc>
          <w:tcPr>
            <w:tcW w:w="709" w:type="dxa"/>
            <w:tcBorders>
              <w:top w:val="single" w:color="auto" w:sz="4" w:space="0"/>
              <w:bottom w:val="single" w:color="auto" w:sz="4" w:space="0"/>
            </w:tcBorders>
            <w:noWrap w:val="0"/>
            <w:vAlign w:val="center"/>
          </w:tcPr>
          <w:p w14:paraId="4D02543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根冠比（%）</w:t>
            </w:r>
          </w:p>
        </w:tc>
        <w:tc>
          <w:tcPr>
            <w:tcW w:w="797" w:type="dxa"/>
            <w:tcBorders>
              <w:top w:val="single" w:color="auto" w:sz="4" w:space="0"/>
              <w:bottom w:val="single" w:color="auto" w:sz="4" w:space="0"/>
            </w:tcBorders>
            <w:noWrap w:val="0"/>
            <w:vAlign w:val="center"/>
          </w:tcPr>
          <w:p w14:paraId="66E185C9">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壮苗指数</w:t>
            </w:r>
          </w:p>
        </w:tc>
      </w:tr>
      <w:tr w14:paraId="3A8A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9" w:type="dxa"/>
            <w:vMerge w:val="restart"/>
            <w:tcBorders>
              <w:top w:val="single" w:color="auto" w:sz="4" w:space="0"/>
            </w:tcBorders>
            <w:noWrap w:val="0"/>
            <w:vAlign w:val="center"/>
          </w:tcPr>
          <w:p w14:paraId="03F96E59">
            <w:pPr>
              <w:numPr>
                <w:ilvl w:val="0"/>
                <w:numId w:val="0"/>
              </w:numPr>
              <w:spacing w:line="360" w:lineRule="auto"/>
              <w:ind w:left="0" w:leftChars="0" w:firstLine="0" w:firstLineChars="0"/>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叶用莴苣</w:t>
            </w:r>
          </w:p>
        </w:tc>
        <w:tc>
          <w:tcPr>
            <w:tcW w:w="889" w:type="dxa"/>
            <w:tcBorders>
              <w:top w:val="single" w:color="auto" w:sz="4" w:space="0"/>
            </w:tcBorders>
            <w:noWrap w:val="0"/>
            <w:vAlign w:val="center"/>
          </w:tcPr>
          <w:p w14:paraId="70B648A1">
            <w:pPr>
              <w:numPr>
                <w:ilvl w:val="0"/>
                <w:numId w:val="0"/>
              </w:numPr>
              <w:spacing w:line="360" w:lineRule="auto"/>
              <w:ind w:left="0" w:leftChars="0" w:firstLine="0" w:firstLineChars="0"/>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72</w:t>
            </w:r>
          </w:p>
        </w:tc>
        <w:tc>
          <w:tcPr>
            <w:tcW w:w="1255" w:type="dxa"/>
            <w:tcBorders>
              <w:top w:val="single" w:color="auto" w:sz="4" w:space="0"/>
            </w:tcBorders>
            <w:noWrap w:val="0"/>
            <w:vAlign w:val="center"/>
          </w:tcPr>
          <w:p w14:paraId="72DFBE58">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2.67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0.39 a</w:t>
            </w:r>
          </w:p>
        </w:tc>
        <w:tc>
          <w:tcPr>
            <w:tcW w:w="1434" w:type="dxa"/>
            <w:tcBorders>
              <w:top w:val="single" w:color="auto" w:sz="4" w:space="0"/>
            </w:tcBorders>
            <w:noWrap w:val="0"/>
            <w:vAlign w:val="center"/>
          </w:tcPr>
          <w:p w14:paraId="74614B6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0.17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0.03 a</w:t>
            </w:r>
          </w:p>
        </w:tc>
        <w:tc>
          <w:tcPr>
            <w:tcW w:w="1289" w:type="dxa"/>
            <w:tcBorders>
              <w:top w:val="single" w:color="auto" w:sz="4" w:space="0"/>
            </w:tcBorders>
            <w:noWrap w:val="0"/>
            <w:vAlign w:val="center"/>
          </w:tcPr>
          <w:p w14:paraId="6BF0F909">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0.47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0.16 a</w:t>
            </w:r>
          </w:p>
        </w:tc>
        <w:tc>
          <w:tcPr>
            <w:tcW w:w="1377" w:type="dxa"/>
            <w:tcBorders>
              <w:top w:val="single" w:color="auto" w:sz="4" w:space="0"/>
            </w:tcBorders>
            <w:noWrap w:val="0"/>
            <w:vAlign w:val="center"/>
          </w:tcPr>
          <w:p w14:paraId="1F86A5E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0.046</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0.016a</w:t>
            </w:r>
          </w:p>
        </w:tc>
        <w:tc>
          <w:tcPr>
            <w:tcW w:w="709" w:type="dxa"/>
            <w:tcBorders>
              <w:top w:val="single" w:color="auto" w:sz="4" w:space="0"/>
            </w:tcBorders>
            <w:noWrap w:val="0"/>
            <w:vAlign w:val="center"/>
          </w:tcPr>
          <w:p w14:paraId="4808CF6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17.57</w:t>
            </w:r>
          </w:p>
        </w:tc>
        <w:tc>
          <w:tcPr>
            <w:tcW w:w="797" w:type="dxa"/>
            <w:tcBorders>
              <w:top w:val="single" w:color="auto" w:sz="4" w:space="0"/>
            </w:tcBorders>
            <w:noWrap w:val="0"/>
            <w:vAlign w:val="center"/>
          </w:tcPr>
          <w:p w14:paraId="716F03D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0.058</w:t>
            </w:r>
          </w:p>
        </w:tc>
      </w:tr>
      <w:tr w14:paraId="5FEE9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9" w:type="dxa"/>
            <w:vMerge w:val="continue"/>
            <w:noWrap w:val="0"/>
            <w:vAlign w:val="center"/>
          </w:tcPr>
          <w:p w14:paraId="0888A0AF">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p>
        </w:tc>
        <w:tc>
          <w:tcPr>
            <w:tcW w:w="889" w:type="dxa"/>
            <w:noWrap w:val="0"/>
            <w:vAlign w:val="center"/>
          </w:tcPr>
          <w:p w14:paraId="7E166C30">
            <w:pPr>
              <w:numPr>
                <w:ilvl w:val="0"/>
                <w:numId w:val="0"/>
              </w:numPr>
              <w:spacing w:line="360" w:lineRule="auto"/>
              <w:ind w:left="0" w:leftChars="0" w:firstLine="0" w:firstLineChars="0"/>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105</w:t>
            </w:r>
          </w:p>
        </w:tc>
        <w:tc>
          <w:tcPr>
            <w:tcW w:w="1255" w:type="dxa"/>
            <w:noWrap w:val="0"/>
            <w:vAlign w:val="center"/>
          </w:tcPr>
          <w:p w14:paraId="3A2CC967">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1.72</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0.48 b</w:t>
            </w:r>
          </w:p>
        </w:tc>
        <w:tc>
          <w:tcPr>
            <w:tcW w:w="1434" w:type="dxa"/>
            <w:noWrap w:val="0"/>
            <w:vAlign w:val="center"/>
          </w:tcPr>
          <w:p w14:paraId="4DB1421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0.11</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0.036b</w:t>
            </w:r>
          </w:p>
        </w:tc>
        <w:tc>
          <w:tcPr>
            <w:tcW w:w="1289" w:type="dxa"/>
            <w:noWrap w:val="0"/>
            <w:vAlign w:val="center"/>
          </w:tcPr>
          <w:p w14:paraId="713F1C5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0.21</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0.08 b</w:t>
            </w:r>
          </w:p>
        </w:tc>
        <w:tc>
          <w:tcPr>
            <w:tcW w:w="1377" w:type="dxa"/>
            <w:noWrap w:val="0"/>
            <w:vAlign w:val="center"/>
          </w:tcPr>
          <w:p w14:paraId="5D0C013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0.020</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0.007a</w:t>
            </w:r>
          </w:p>
        </w:tc>
        <w:tc>
          <w:tcPr>
            <w:tcW w:w="709" w:type="dxa"/>
            <w:noWrap w:val="0"/>
            <w:vAlign w:val="center"/>
          </w:tcPr>
          <w:p w14:paraId="4C7D10C1">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12.42</w:t>
            </w:r>
          </w:p>
        </w:tc>
        <w:tc>
          <w:tcPr>
            <w:tcW w:w="797" w:type="dxa"/>
            <w:noWrap w:val="0"/>
            <w:vAlign w:val="center"/>
          </w:tcPr>
          <w:p w14:paraId="6BAF9D6A">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0.033</w:t>
            </w:r>
          </w:p>
        </w:tc>
      </w:tr>
      <w:tr w14:paraId="384EA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9" w:type="dxa"/>
            <w:vMerge w:val="restart"/>
            <w:noWrap w:val="0"/>
            <w:vAlign w:val="center"/>
          </w:tcPr>
          <w:p w14:paraId="262D0456">
            <w:pPr>
              <w:numPr>
                <w:ilvl w:val="0"/>
                <w:numId w:val="0"/>
              </w:numPr>
              <w:spacing w:line="360" w:lineRule="auto"/>
              <w:ind w:left="0" w:leftChars="0" w:firstLine="0" w:firstLineChars="0"/>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茎用莴苣</w:t>
            </w:r>
          </w:p>
        </w:tc>
        <w:tc>
          <w:tcPr>
            <w:tcW w:w="889" w:type="dxa"/>
            <w:noWrap w:val="0"/>
            <w:vAlign w:val="center"/>
          </w:tcPr>
          <w:p w14:paraId="261B268F">
            <w:pPr>
              <w:numPr>
                <w:ilvl w:val="0"/>
                <w:numId w:val="0"/>
              </w:numPr>
              <w:spacing w:line="360" w:lineRule="auto"/>
              <w:ind w:left="0" w:leftChars="0" w:firstLine="0" w:firstLineChars="0"/>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72</w:t>
            </w:r>
          </w:p>
        </w:tc>
        <w:tc>
          <w:tcPr>
            <w:tcW w:w="1255" w:type="dxa"/>
            <w:noWrap w:val="0"/>
            <w:vAlign w:val="center"/>
          </w:tcPr>
          <w:p w14:paraId="2806099D">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2.07</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0.52 b</w:t>
            </w:r>
          </w:p>
        </w:tc>
        <w:tc>
          <w:tcPr>
            <w:tcW w:w="1434" w:type="dxa"/>
            <w:noWrap w:val="0"/>
            <w:vAlign w:val="center"/>
          </w:tcPr>
          <w:p w14:paraId="748DD99A">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0.15</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0.039ab</w:t>
            </w:r>
          </w:p>
        </w:tc>
        <w:tc>
          <w:tcPr>
            <w:tcW w:w="1289" w:type="dxa"/>
            <w:noWrap w:val="0"/>
            <w:vAlign w:val="center"/>
          </w:tcPr>
          <w:p w14:paraId="413894EC">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0.20</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0.07 b</w:t>
            </w:r>
          </w:p>
        </w:tc>
        <w:tc>
          <w:tcPr>
            <w:tcW w:w="1377" w:type="dxa"/>
            <w:noWrap w:val="0"/>
            <w:vAlign w:val="center"/>
          </w:tcPr>
          <w:p w14:paraId="0FFF7EB3">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0.025</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0.009a</w:t>
            </w:r>
          </w:p>
        </w:tc>
        <w:tc>
          <w:tcPr>
            <w:tcW w:w="709" w:type="dxa"/>
            <w:noWrap w:val="0"/>
            <w:vAlign w:val="center"/>
          </w:tcPr>
          <w:p w14:paraId="2689F676">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9.52</w:t>
            </w:r>
          </w:p>
        </w:tc>
        <w:tc>
          <w:tcPr>
            <w:tcW w:w="797" w:type="dxa"/>
            <w:noWrap w:val="0"/>
            <w:vAlign w:val="center"/>
          </w:tcPr>
          <w:p w14:paraId="79B5210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0.038</w:t>
            </w:r>
          </w:p>
        </w:tc>
      </w:tr>
      <w:tr w14:paraId="3FBA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9" w:type="dxa"/>
            <w:vMerge w:val="continue"/>
            <w:tcBorders>
              <w:bottom w:val="single" w:color="auto" w:sz="4" w:space="0"/>
            </w:tcBorders>
            <w:noWrap w:val="0"/>
            <w:vAlign w:val="center"/>
          </w:tcPr>
          <w:p w14:paraId="165E5C50">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p>
        </w:tc>
        <w:tc>
          <w:tcPr>
            <w:tcW w:w="889" w:type="dxa"/>
            <w:tcBorders>
              <w:bottom w:val="single" w:color="auto" w:sz="4" w:space="0"/>
            </w:tcBorders>
            <w:noWrap w:val="0"/>
            <w:vAlign w:val="center"/>
          </w:tcPr>
          <w:p w14:paraId="1DA78AF0">
            <w:pPr>
              <w:numPr>
                <w:ilvl w:val="0"/>
                <w:numId w:val="0"/>
              </w:numPr>
              <w:spacing w:line="360" w:lineRule="auto"/>
              <w:ind w:left="0" w:leftChars="0" w:firstLine="0" w:firstLineChars="0"/>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105</w:t>
            </w:r>
          </w:p>
        </w:tc>
        <w:tc>
          <w:tcPr>
            <w:tcW w:w="1255" w:type="dxa"/>
            <w:tcBorders>
              <w:bottom w:val="single" w:color="auto" w:sz="4" w:space="0"/>
            </w:tcBorders>
            <w:noWrap w:val="0"/>
            <w:vAlign w:val="center"/>
          </w:tcPr>
          <w:p w14:paraId="32D64AA4">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1.72</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0.32 b</w:t>
            </w:r>
          </w:p>
        </w:tc>
        <w:tc>
          <w:tcPr>
            <w:tcW w:w="1434" w:type="dxa"/>
            <w:tcBorders>
              <w:bottom w:val="single" w:color="auto" w:sz="4" w:space="0"/>
            </w:tcBorders>
            <w:noWrap w:val="0"/>
            <w:vAlign w:val="center"/>
          </w:tcPr>
          <w:p w14:paraId="5F63CE8B">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0.13</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0.023b</w:t>
            </w:r>
          </w:p>
        </w:tc>
        <w:tc>
          <w:tcPr>
            <w:tcW w:w="1289" w:type="dxa"/>
            <w:tcBorders>
              <w:bottom w:val="single" w:color="auto" w:sz="4" w:space="0"/>
            </w:tcBorders>
            <w:noWrap w:val="0"/>
            <w:vAlign w:val="center"/>
          </w:tcPr>
          <w:p w14:paraId="3D96F5A5">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0.20</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0.07 b</w:t>
            </w:r>
          </w:p>
        </w:tc>
        <w:tc>
          <w:tcPr>
            <w:tcW w:w="1377" w:type="dxa"/>
            <w:tcBorders>
              <w:bottom w:val="single" w:color="auto" w:sz="4" w:space="0"/>
            </w:tcBorders>
            <w:noWrap w:val="0"/>
            <w:vAlign w:val="center"/>
          </w:tcPr>
          <w:p w14:paraId="429E7832">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0.021</w:t>
            </w:r>
            <w:r>
              <w:rPr>
                <w:rFonts w:hint="default" w:ascii="Times New Roman" w:hAnsi="Times New Roman" w:eastAsia="微软雅黑" w:cs="Times New Roman"/>
                <w:i w:val="0"/>
                <w:iCs w:val="0"/>
                <w:color w:val="000000"/>
                <w:kern w:val="0"/>
                <w:sz w:val="21"/>
                <w:szCs w:val="21"/>
                <w:u w:val="none"/>
                <w:vertAlign w:val="baseline"/>
                <w:lang w:val="en-US" w:eastAsia="zh-CN" w:bidi="ar"/>
              </w:rPr>
              <w:t>±</w:t>
            </w:r>
            <w:r>
              <w:rPr>
                <w:rFonts w:hint="eastAsia" w:ascii="Times New Roman" w:hAnsi="Times New Roman" w:eastAsia="微软雅黑" w:cs="Times New Roman"/>
                <w:i w:val="0"/>
                <w:iCs w:val="0"/>
                <w:color w:val="000000"/>
                <w:kern w:val="0"/>
                <w:sz w:val="21"/>
                <w:szCs w:val="21"/>
                <w:u w:val="none"/>
                <w:vertAlign w:val="baseline"/>
                <w:lang w:val="en-US" w:eastAsia="zh-CN" w:bidi="ar"/>
              </w:rPr>
              <w:t>0.006a</w:t>
            </w:r>
          </w:p>
        </w:tc>
        <w:tc>
          <w:tcPr>
            <w:tcW w:w="709" w:type="dxa"/>
            <w:tcBorders>
              <w:bottom w:val="single" w:color="auto" w:sz="4" w:space="0"/>
            </w:tcBorders>
            <w:noWrap w:val="0"/>
            <w:vAlign w:val="center"/>
          </w:tcPr>
          <w:p w14:paraId="08E2932E">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11.62</w:t>
            </w:r>
          </w:p>
        </w:tc>
        <w:tc>
          <w:tcPr>
            <w:tcW w:w="797" w:type="dxa"/>
            <w:tcBorders>
              <w:bottom w:val="single" w:color="auto" w:sz="4" w:space="0"/>
            </w:tcBorders>
            <w:noWrap w:val="0"/>
            <w:vAlign w:val="center"/>
          </w:tcPr>
          <w:p w14:paraId="2B81D210">
            <w:pPr>
              <w:numPr>
                <w:ilvl w:val="0"/>
                <w:numId w:val="0"/>
              </w:numPr>
              <w:spacing w:line="360" w:lineRule="auto"/>
              <w:jc w:val="center"/>
              <w:rPr>
                <w:rFonts w:hint="default" w:ascii="Times New Roman" w:hAnsi="Times New Roman" w:eastAsia="宋体" w:cs="Times New Roman"/>
                <w:i w:val="0"/>
                <w:iCs w:val="0"/>
                <w:color w:val="000000"/>
                <w:kern w:val="0"/>
                <w:sz w:val="21"/>
                <w:szCs w:val="21"/>
                <w:u w:val="none"/>
                <w:vertAlign w:val="baseline"/>
                <w:lang w:val="en-US" w:eastAsia="zh-CN" w:bidi="ar"/>
              </w:rPr>
            </w:pPr>
            <w:r>
              <w:rPr>
                <w:rFonts w:hint="eastAsia" w:ascii="Times New Roman" w:hAnsi="Times New Roman" w:eastAsia="宋体" w:cs="Times New Roman"/>
                <w:i w:val="0"/>
                <w:iCs w:val="0"/>
                <w:color w:val="000000"/>
                <w:kern w:val="0"/>
                <w:sz w:val="21"/>
                <w:szCs w:val="21"/>
                <w:u w:val="none"/>
                <w:vertAlign w:val="baseline"/>
                <w:lang w:val="en-US" w:eastAsia="zh-CN" w:bidi="ar"/>
              </w:rPr>
              <w:t>0.033</w:t>
            </w:r>
          </w:p>
        </w:tc>
      </w:tr>
    </w:tbl>
    <w:p w14:paraId="30828CBB">
      <w:pPr>
        <w:spacing w:before="156" w:beforeLines="50" w:after="156" w:afterLines="50"/>
        <w:outlineLvl w:val="2"/>
        <w:rPr>
          <w:rStyle w:val="8"/>
          <w:rFonts w:hint="eastAsia" w:eastAsia="方正仿宋_GB2312" w:cstheme="minorBidi"/>
          <w:b/>
          <w:sz w:val="32"/>
          <w:szCs w:val="32"/>
        </w:rPr>
      </w:pPr>
      <w:r>
        <w:rPr>
          <w:rStyle w:val="8"/>
          <w:rFonts w:hint="eastAsia" w:eastAsia="方正仿宋_GB2312" w:cstheme="minorBidi"/>
          <w:b/>
          <w:sz w:val="32"/>
          <w:szCs w:val="32"/>
          <w:lang w:val="en-US" w:eastAsia="zh-CN"/>
        </w:rPr>
        <w:t>2.4</w:t>
      </w:r>
      <w:r>
        <w:rPr>
          <w:rStyle w:val="8"/>
          <w:rFonts w:hint="eastAsia" w:eastAsia="方正仿宋_GB2312" w:cstheme="minorBidi"/>
          <w:b/>
          <w:sz w:val="32"/>
          <w:szCs w:val="32"/>
        </w:rPr>
        <w:t>小结</w:t>
      </w:r>
    </w:p>
    <w:p w14:paraId="7D7603C8">
      <w:pPr>
        <w:spacing w:before="156" w:beforeLines="50" w:after="156" w:afterLines="50"/>
        <w:ind w:firstLine="640" w:firstLineChars="200"/>
        <w:outlineLvl w:val="2"/>
        <w:rPr>
          <w:rStyle w:val="8"/>
          <w:rFonts w:hint="eastAsia" w:eastAsia="方正仿宋_GB2312" w:cstheme="minorBidi"/>
          <w:b w:val="0"/>
          <w:bCs/>
          <w:sz w:val="32"/>
          <w:szCs w:val="32"/>
        </w:rPr>
      </w:pPr>
      <w:r>
        <w:rPr>
          <w:rStyle w:val="8"/>
          <w:rFonts w:hint="eastAsia" w:eastAsia="方正仿宋_GB2312" w:cstheme="minorBidi"/>
          <w:b w:val="0"/>
          <w:bCs/>
          <w:sz w:val="32"/>
          <w:szCs w:val="32"/>
        </w:rPr>
        <w:t>成功建立了莴苣育苗技术体系，确定了不同栽培方式和品种的最佳技术参数。基质育苗方面：适合叶用莴苣和茎用莴苣育苗的基质配比为草炭+珍珠岩1:1，适合叶用莴苣的穴盘规格为72穴，适合茎用莴苣的穴盘规格为72穴或105穴。研究表明品种特性是影响育苗效果的重要因素，在实际生产中应充分考虑品种类型、生长需求、人工操作、定植时期、育苗成本等因素，选择适宜的育苗技术参数，以实现高效的莴苣工厂化育苗生产。</w:t>
      </w:r>
    </w:p>
    <w:p w14:paraId="5B38C85B">
      <w:pPr>
        <w:numPr>
          <w:ilvl w:val="0"/>
          <w:numId w:val="1"/>
        </w:numPr>
        <w:spacing w:before="156" w:beforeLines="50" w:after="156" w:afterLines="50"/>
        <w:outlineLvl w:val="2"/>
        <w:rPr>
          <w:rStyle w:val="8"/>
          <w:rFonts w:hint="default" w:eastAsia="方正仿宋_GB2312" w:cstheme="minorBidi"/>
          <w:b/>
          <w:sz w:val="32"/>
          <w:szCs w:val="32"/>
          <w:lang w:val="en-US"/>
        </w:rPr>
      </w:pPr>
      <w:r>
        <w:rPr>
          <w:rStyle w:val="8"/>
          <w:rFonts w:hint="eastAsia" w:eastAsia="方正仿宋_GB2312" w:cstheme="minorBidi"/>
          <w:b/>
          <w:sz w:val="32"/>
          <w:szCs w:val="32"/>
          <w:lang w:val="en-US" w:eastAsia="zh-CN"/>
        </w:rPr>
        <w:t>不同莴苣品种发芽特性筛选与评价</w:t>
      </w:r>
    </w:p>
    <w:p w14:paraId="67CC57FA">
      <w:pPr>
        <w:numPr>
          <w:ilvl w:val="1"/>
          <w:numId w:val="1"/>
        </w:numPr>
        <w:spacing w:before="156" w:beforeLines="50" w:after="156" w:afterLines="5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研究目的</w:t>
      </w:r>
    </w:p>
    <w:p w14:paraId="32A6B4A6">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莴苣种质资源丰富，品种间发芽特性存在显著差异，进而影响集约化育苗的整齐度与成苗质量。通过对引进收集莴苣种质资源进行发芽能力评估，从而筛选发芽率高、发芽势强、芽势整齐的优良品种，为莴苣的品种选择和种子处理提供理论依据。</w:t>
      </w:r>
    </w:p>
    <w:p w14:paraId="6636E794">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材料与方法</w:t>
      </w:r>
    </w:p>
    <w:p w14:paraId="3659BE53">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试验材料</w:t>
      </w:r>
    </w:p>
    <w:p w14:paraId="3215E3D3">
      <w:pPr>
        <w:numPr>
          <w:ilvl w:val="0"/>
          <w:numId w:val="0"/>
        </w:numPr>
        <w:spacing w:before="156" w:beforeLines="50" w:after="156" w:afterLines="50"/>
        <w:ind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由青海大学农林科学院引进收集的192份叶用莴苣品种和194份茎用莴苣品种组成，所有种子均为2024年制种。</w:t>
      </w:r>
    </w:p>
    <w:p w14:paraId="05092DA8">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试验设计</w:t>
      </w:r>
    </w:p>
    <w:p w14:paraId="5F1F22DD">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试验于2024年11月14日在青海大学农林科学院园艺所实验室进行。每个处理3次重复，每次重复30粒种子。试验前选取粒大、饱满、大小一致的种子，将</w:t>
      </w:r>
      <w:r>
        <w:rPr>
          <w:rStyle w:val="8"/>
          <w:rFonts w:hint="eastAsia" w:eastAsia="方正仿宋_GB2312" w:cstheme="minorBidi"/>
          <w:b w:val="0"/>
          <w:bCs/>
          <w:sz w:val="32"/>
          <w:szCs w:val="32"/>
          <w:lang w:val="en-US" w:eastAsia="zh-CN"/>
        </w:rPr>
        <w:t>莴苣</w:t>
      </w:r>
      <w:r>
        <w:rPr>
          <w:rStyle w:val="8"/>
          <w:rFonts w:hint="default" w:eastAsia="方正仿宋_GB2312" w:cstheme="minorBidi"/>
          <w:b w:val="0"/>
          <w:bCs/>
          <w:sz w:val="32"/>
          <w:szCs w:val="32"/>
          <w:lang w:val="en-US" w:eastAsia="zh-CN"/>
        </w:rPr>
        <w:t>种子放置在垫有两层滤纸、直径为9 cm的培养皿中，然后将培养皿放到设置好温度的人工气候培养箱</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发芽温度为白</w:t>
      </w:r>
      <w:r>
        <w:rPr>
          <w:rStyle w:val="8"/>
          <w:rFonts w:hint="eastAsia" w:eastAsia="方正仿宋_GB2312" w:cstheme="minorBidi"/>
          <w:b w:val="0"/>
          <w:bCs/>
          <w:sz w:val="32"/>
          <w:szCs w:val="32"/>
          <w:lang w:val="en-US" w:eastAsia="zh-CN"/>
        </w:rPr>
        <w:t>天</w:t>
      </w:r>
      <w:r>
        <w:rPr>
          <w:rStyle w:val="8"/>
          <w:rFonts w:hint="default" w:eastAsia="方正仿宋_GB2312" w:cstheme="minorBidi"/>
          <w:b w:val="0"/>
          <w:bCs/>
          <w:sz w:val="32"/>
          <w:szCs w:val="32"/>
          <w:lang w:val="en-US" w:eastAsia="zh-CN"/>
        </w:rPr>
        <w:t>25℃</w:t>
      </w:r>
      <w:r>
        <w:rPr>
          <w:rStyle w:val="8"/>
          <w:rFonts w:hint="eastAsia" w:eastAsia="方正仿宋_GB2312" w:cstheme="minorBidi"/>
          <w:b w:val="0"/>
          <w:bCs/>
          <w:sz w:val="32"/>
          <w:szCs w:val="32"/>
          <w:lang w:val="en-US" w:eastAsia="zh-CN"/>
        </w:rPr>
        <w:t>/12h</w:t>
      </w:r>
      <w:r>
        <w:rPr>
          <w:rStyle w:val="8"/>
          <w:rFonts w:hint="default" w:eastAsia="方正仿宋_GB2312" w:cstheme="minorBidi"/>
          <w:b w:val="0"/>
          <w:bCs/>
          <w:sz w:val="32"/>
          <w:szCs w:val="32"/>
          <w:lang w:val="en-US" w:eastAsia="zh-CN"/>
        </w:rPr>
        <w:t>，夜晚20℃</w:t>
      </w:r>
      <w:r>
        <w:rPr>
          <w:rStyle w:val="8"/>
          <w:rFonts w:hint="eastAsia" w:eastAsia="方正仿宋_GB2312" w:cstheme="minorBidi"/>
          <w:b w:val="0"/>
          <w:bCs/>
          <w:sz w:val="32"/>
          <w:szCs w:val="32"/>
          <w:lang w:val="en-US" w:eastAsia="zh-CN"/>
        </w:rPr>
        <w:t>/12h）</w:t>
      </w:r>
      <w:r>
        <w:rPr>
          <w:rStyle w:val="8"/>
          <w:rFonts w:hint="default" w:eastAsia="方正仿宋_GB2312" w:cstheme="minorBidi"/>
          <w:b w:val="0"/>
          <w:bCs/>
          <w:sz w:val="32"/>
          <w:szCs w:val="32"/>
          <w:lang w:val="en-US" w:eastAsia="zh-CN"/>
        </w:rPr>
        <w:t>中进行萌发试验。试验过程中记录发芽势、最终发芽率、发芽指数，发芽标准为胚根突破种皮。当有种子发芽时开始记载，每24h观察、记载1次，试验持续进行</w:t>
      </w:r>
      <w:r>
        <w:rPr>
          <w:rStyle w:val="8"/>
          <w:rFonts w:hint="eastAsia" w:eastAsia="方正仿宋_GB2312" w:cstheme="minorBidi"/>
          <w:b w:val="0"/>
          <w:bCs/>
          <w:sz w:val="32"/>
          <w:szCs w:val="32"/>
          <w:lang w:val="en-US" w:eastAsia="zh-CN"/>
        </w:rPr>
        <w:t>7</w:t>
      </w:r>
      <w:r>
        <w:rPr>
          <w:rStyle w:val="8"/>
          <w:rFonts w:hint="default" w:eastAsia="方正仿宋_GB2312" w:cstheme="minorBidi"/>
          <w:b w:val="0"/>
          <w:bCs/>
          <w:sz w:val="32"/>
          <w:szCs w:val="32"/>
          <w:lang w:val="en-US" w:eastAsia="zh-CN"/>
        </w:rPr>
        <w:t>天</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第4天统计发芽势，第</w:t>
      </w:r>
      <w:r>
        <w:rPr>
          <w:rStyle w:val="8"/>
          <w:rFonts w:hint="eastAsia" w:eastAsia="方正仿宋_GB2312" w:cstheme="minorBidi"/>
          <w:b w:val="0"/>
          <w:bCs/>
          <w:sz w:val="32"/>
          <w:szCs w:val="32"/>
          <w:lang w:val="en-US" w:eastAsia="zh-CN"/>
        </w:rPr>
        <w:t>7</w:t>
      </w:r>
      <w:r>
        <w:rPr>
          <w:rStyle w:val="8"/>
          <w:rFonts w:hint="default" w:eastAsia="方正仿宋_GB2312" w:cstheme="minorBidi"/>
          <w:b w:val="0"/>
          <w:bCs/>
          <w:sz w:val="32"/>
          <w:szCs w:val="32"/>
          <w:lang w:val="en-US" w:eastAsia="zh-CN"/>
        </w:rPr>
        <w:t>天结束试验</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试验期间保持发芽床湿润</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最后对试验所得数据进行整理。</w:t>
      </w:r>
    </w:p>
    <w:p w14:paraId="3265ADAB">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统计与分析</w:t>
      </w:r>
    </w:p>
    <w:p w14:paraId="22A12BF1">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采用单因素方差分析（ANOVA）检验叶用</w:t>
      </w:r>
      <w:r>
        <w:rPr>
          <w:rStyle w:val="8"/>
          <w:rFonts w:hint="eastAsia" w:eastAsia="方正仿宋_GB2312" w:cstheme="minorBidi"/>
          <w:b w:val="0"/>
          <w:bCs/>
          <w:sz w:val="32"/>
          <w:szCs w:val="32"/>
          <w:lang w:val="en-US" w:eastAsia="zh-CN"/>
        </w:rPr>
        <w:t>莴苣</w:t>
      </w:r>
      <w:r>
        <w:rPr>
          <w:rStyle w:val="8"/>
          <w:rFonts w:hint="default" w:eastAsia="方正仿宋_GB2312" w:cstheme="minorBidi"/>
          <w:b w:val="0"/>
          <w:bCs/>
          <w:sz w:val="32"/>
          <w:szCs w:val="32"/>
          <w:lang w:val="en-US" w:eastAsia="zh-CN"/>
        </w:rPr>
        <w:t>与茎用莴苣在发芽率、发芽势和发芽指数上差异的显著性</w:t>
      </w:r>
      <w:r>
        <w:rPr>
          <w:rStyle w:val="8"/>
          <w:rFonts w:hint="eastAsia" w:eastAsia="方正仿宋_GB2312" w:cstheme="minorBidi"/>
          <w:b w:val="0"/>
          <w:bCs/>
          <w:sz w:val="32"/>
          <w:szCs w:val="32"/>
          <w:lang w:val="en-US" w:eastAsia="zh-CN"/>
        </w:rPr>
        <w:t>。种子达标率统计：商业化育苗一级种标准：发芽率（GR）≥ 85%，高活力标准：发芽指数（GI）≥ 50，综合优良标准：同时满足GR ≥ 85% 且GI ≥ 50。</w:t>
      </w:r>
    </w:p>
    <w:p w14:paraId="72341D10">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p>
    <w:p w14:paraId="483119B5">
      <w:pPr>
        <w:numPr>
          <w:ilvl w:val="0"/>
          <w:numId w:val="0"/>
        </w:numPr>
        <w:spacing w:before="156" w:beforeLines="50" w:after="156" w:afterLines="5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测定指标与计算方法：</w:t>
      </w:r>
    </w:p>
    <w:p w14:paraId="5D910B4F">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发芽率</w:t>
      </w:r>
      <w:r>
        <w:rPr>
          <w:rStyle w:val="8"/>
          <w:rFonts w:hint="eastAsia" w:eastAsia="方正仿宋_GB2312" w:cstheme="minorBidi"/>
          <w:b w:val="0"/>
          <w:bCs/>
          <w:sz w:val="32"/>
          <w:szCs w:val="32"/>
          <w:lang w:val="en-US" w:eastAsia="zh-CN"/>
        </w:rPr>
        <w:t>（GR）</w:t>
      </w:r>
      <w:r>
        <w:rPr>
          <w:rStyle w:val="8"/>
          <w:rFonts w:hint="default" w:eastAsia="方正仿宋_GB2312" w:cstheme="minorBidi"/>
          <w:b w:val="0"/>
          <w:bCs/>
          <w:sz w:val="32"/>
          <w:szCs w:val="32"/>
          <w:lang w:val="en-US" w:eastAsia="zh-CN"/>
        </w:rPr>
        <w:t>=（发芽种子数/总种子数）×100%</w:t>
      </w:r>
    </w:p>
    <w:p w14:paraId="2BA652B3">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发芽势</w:t>
      </w:r>
      <w:r>
        <w:rPr>
          <w:rStyle w:val="8"/>
          <w:rFonts w:hint="eastAsia" w:eastAsia="方正仿宋_GB2312" w:cstheme="minorBidi"/>
          <w:b w:val="0"/>
          <w:bCs/>
          <w:sz w:val="32"/>
          <w:szCs w:val="32"/>
          <w:lang w:val="en-US" w:eastAsia="zh-CN"/>
        </w:rPr>
        <w:t>（GE）</w:t>
      </w:r>
      <w:r>
        <w:rPr>
          <w:rStyle w:val="8"/>
          <w:rFonts w:hint="default" w:eastAsia="方正仿宋_GB2312" w:cstheme="minorBidi"/>
          <w:b w:val="0"/>
          <w:bCs/>
          <w:sz w:val="32"/>
          <w:szCs w:val="32"/>
          <w:lang w:val="en-US" w:eastAsia="zh-CN"/>
        </w:rPr>
        <w:t>=（</w:t>
      </w:r>
      <w:r>
        <w:rPr>
          <w:rStyle w:val="8"/>
          <w:rFonts w:hint="eastAsia" w:eastAsia="方正仿宋_GB2312" w:cstheme="minorBidi"/>
          <w:b w:val="0"/>
          <w:bCs/>
          <w:sz w:val="32"/>
          <w:szCs w:val="32"/>
          <w:lang w:val="en-US" w:eastAsia="zh-CN"/>
        </w:rPr>
        <w:t>第4天正常发芽种子数</w:t>
      </w:r>
      <w:r>
        <w:rPr>
          <w:rStyle w:val="8"/>
          <w:rFonts w:hint="default" w:eastAsia="方正仿宋_GB2312" w:cstheme="minorBidi"/>
          <w:b w:val="0"/>
          <w:bCs/>
          <w:sz w:val="32"/>
          <w:szCs w:val="32"/>
          <w:lang w:val="en-US" w:eastAsia="zh-CN"/>
        </w:rPr>
        <w:t>/</w:t>
      </w:r>
      <w:r>
        <w:rPr>
          <w:rStyle w:val="8"/>
          <w:rFonts w:hint="eastAsia" w:eastAsia="方正仿宋_GB2312" w:cstheme="minorBidi"/>
          <w:b w:val="0"/>
          <w:bCs/>
          <w:sz w:val="32"/>
          <w:szCs w:val="32"/>
          <w:lang w:val="en-US" w:eastAsia="zh-CN"/>
        </w:rPr>
        <w:t>总</w:t>
      </w:r>
      <w:r>
        <w:rPr>
          <w:rStyle w:val="8"/>
          <w:rFonts w:hint="default" w:eastAsia="方正仿宋_GB2312" w:cstheme="minorBidi"/>
          <w:b w:val="0"/>
          <w:bCs/>
          <w:sz w:val="32"/>
          <w:szCs w:val="32"/>
          <w:lang w:val="en-US" w:eastAsia="zh-CN"/>
        </w:rPr>
        <w:t>种子数）×100%</w:t>
      </w:r>
    </w:p>
    <w:p w14:paraId="25910407">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发芽指数（GI）=Σ(Gt/Dt)，其中Gt表示第t天的发芽数，Dt表示相应的天数。</w:t>
      </w:r>
    </w:p>
    <w:p w14:paraId="7FF954DD">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变异系数（%）=标准差/平均值</w:t>
      </w:r>
      <w:r>
        <w:rPr>
          <w:rStyle w:val="8"/>
          <w:rFonts w:hint="default" w:eastAsia="方正仿宋_GB2312" w:cstheme="minorBidi"/>
          <w:b w:val="0"/>
          <w:bCs/>
          <w:sz w:val="32"/>
          <w:szCs w:val="32"/>
          <w:lang w:val="en-US" w:eastAsia="zh-CN"/>
        </w:rPr>
        <w:t>×100%</w:t>
      </w:r>
    </w:p>
    <w:p w14:paraId="211399EE">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结果与分析</w:t>
      </w:r>
    </w:p>
    <w:p w14:paraId="0FA3AFD4">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莴苣发芽特性总体分析</w:t>
      </w:r>
    </w:p>
    <w:p w14:paraId="4F5C6804">
      <w:pPr>
        <w:numPr>
          <w:ilvl w:val="0"/>
          <w:numId w:val="0"/>
        </w:numPr>
        <w:spacing w:before="156" w:beforeLines="50" w:after="156" w:afterLines="50"/>
        <w:ind w:leftChars="0"/>
        <w:jc w:val="center"/>
        <w:outlineLvl w:val="2"/>
        <w:rPr>
          <w:rStyle w:val="8"/>
          <w:rFonts w:hint="default"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表3 不同莴苣品种发芽特性情况统计</w:t>
      </w:r>
    </w:p>
    <w:tbl>
      <w:tblPr>
        <w:tblStyle w:val="4"/>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3"/>
        <w:gridCol w:w="2384"/>
        <w:gridCol w:w="1574"/>
        <w:gridCol w:w="1574"/>
        <w:gridCol w:w="1494"/>
      </w:tblGrid>
      <w:tr w14:paraId="176AAC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tcBorders>
              <w:bottom w:val="single" w:color="auto" w:sz="4" w:space="0"/>
            </w:tcBorders>
            <w:vAlign w:val="center"/>
          </w:tcPr>
          <w:p w14:paraId="2FE8653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类型</w:t>
            </w:r>
          </w:p>
        </w:tc>
        <w:tc>
          <w:tcPr>
            <w:tcW w:w="1398" w:type="pct"/>
            <w:tcBorders>
              <w:bottom w:val="single" w:color="auto" w:sz="4" w:space="0"/>
            </w:tcBorders>
            <w:vAlign w:val="center"/>
          </w:tcPr>
          <w:p w14:paraId="269A709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指标</w:t>
            </w:r>
          </w:p>
        </w:tc>
        <w:tc>
          <w:tcPr>
            <w:tcW w:w="923" w:type="pct"/>
            <w:tcBorders>
              <w:bottom w:val="single" w:color="auto" w:sz="4" w:space="0"/>
            </w:tcBorders>
            <w:vAlign w:val="center"/>
          </w:tcPr>
          <w:p w14:paraId="2C80101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发芽率/%</w:t>
            </w:r>
          </w:p>
        </w:tc>
        <w:tc>
          <w:tcPr>
            <w:tcW w:w="923" w:type="pct"/>
            <w:tcBorders>
              <w:bottom w:val="single" w:color="auto" w:sz="4" w:space="0"/>
            </w:tcBorders>
            <w:vAlign w:val="center"/>
          </w:tcPr>
          <w:p w14:paraId="45112AA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发芽势/%</w:t>
            </w:r>
          </w:p>
        </w:tc>
        <w:tc>
          <w:tcPr>
            <w:tcW w:w="876" w:type="pct"/>
            <w:tcBorders>
              <w:bottom w:val="single" w:color="auto" w:sz="4" w:space="0"/>
            </w:tcBorders>
            <w:vAlign w:val="center"/>
          </w:tcPr>
          <w:p w14:paraId="7B98919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发芽指数</w:t>
            </w:r>
          </w:p>
        </w:tc>
      </w:tr>
      <w:tr w14:paraId="0D0ADA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restart"/>
            <w:tcBorders>
              <w:top w:val="single" w:color="auto" w:sz="4" w:space="0"/>
            </w:tcBorders>
            <w:vAlign w:val="center"/>
          </w:tcPr>
          <w:p w14:paraId="234CB72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叶用莴苣</w:t>
            </w:r>
          </w:p>
        </w:tc>
        <w:tc>
          <w:tcPr>
            <w:tcW w:w="1398" w:type="pct"/>
            <w:tcBorders>
              <w:top w:val="single" w:color="auto" w:sz="4" w:space="0"/>
            </w:tcBorders>
            <w:vAlign w:val="center"/>
          </w:tcPr>
          <w:p w14:paraId="26818E8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平均值</w:t>
            </w:r>
          </w:p>
        </w:tc>
        <w:tc>
          <w:tcPr>
            <w:tcW w:w="923" w:type="pct"/>
            <w:tcBorders>
              <w:top w:val="single" w:color="auto" w:sz="4" w:space="0"/>
            </w:tcBorders>
            <w:vAlign w:val="center"/>
          </w:tcPr>
          <w:p w14:paraId="2740FD5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89.70</w:t>
            </w:r>
          </w:p>
        </w:tc>
        <w:tc>
          <w:tcPr>
            <w:tcW w:w="923" w:type="pct"/>
            <w:tcBorders>
              <w:top w:val="single" w:color="auto" w:sz="4" w:space="0"/>
            </w:tcBorders>
            <w:vAlign w:val="center"/>
          </w:tcPr>
          <w:p w14:paraId="5A021C6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78.30</w:t>
            </w:r>
          </w:p>
        </w:tc>
        <w:tc>
          <w:tcPr>
            <w:tcW w:w="876" w:type="pct"/>
            <w:tcBorders>
              <w:top w:val="single" w:color="auto" w:sz="4" w:space="0"/>
            </w:tcBorders>
            <w:vAlign w:val="center"/>
          </w:tcPr>
          <w:p w14:paraId="5AEBC1B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45.60</w:t>
            </w:r>
          </w:p>
        </w:tc>
      </w:tr>
      <w:tr w14:paraId="402BC9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4E610D58">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vAlign w:val="center"/>
          </w:tcPr>
          <w:p w14:paraId="08BABAF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标准差</w:t>
            </w:r>
          </w:p>
        </w:tc>
        <w:tc>
          <w:tcPr>
            <w:tcW w:w="923" w:type="pct"/>
            <w:vAlign w:val="center"/>
          </w:tcPr>
          <w:p w14:paraId="4501541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18.20</w:t>
            </w:r>
          </w:p>
        </w:tc>
        <w:tc>
          <w:tcPr>
            <w:tcW w:w="923" w:type="pct"/>
            <w:vAlign w:val="center"/>
          </w:tcPr>
          <w:p w14:paraId="6C1BC06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12.55</w:t>
            </w:r>
          </w:p>
        </w:tc>
        <w:tc>
          <w:tcPr>
            <w:tcW w:w="876" w:type="pct"/>
            <w:vAlign w:val="center"/>
          </w:tcPr>
          <w:p w14:paraId="28FFCC3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17.14</w:t>
            </w:r>
          </w:p>
        </w:tc>
      </w:tr>
      <w:tr w14:paraId="4AF532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304E1BC7">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vAlign w:val="center"/>
          </w:tcPr>
          <w:p w14:paraId="00A46B5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最小值</w:t>
            </w:r>
          </w:p>
        </w:tc>
        <w:tc>
          <w:tcPr>
            <w:tcW w:w="923" w:type="pct"/>
            <w:vAlign w:val="center"/>
          </w:tcPr>
          <w:p w14:paraId="57886FA5">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w:t>
            </w:r>
          </w:p>
        </w:tc>
        <w:tc>
          <w:tcPr>
            <w:tcW w:w="923" w:type="pct"/>
            <w:vAlign w:val="center"/>
          </w:tcPr>
          <w:p w14:paraId="60A1867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w:t>
            </w:r>
          </w:p>
        </w:tc>
        <w:tc>
          <w:tcPr>
            <w:tcW w:w="876" w:type="pct"/>
            <w:vAlign w:val="center"/>
          </w:tcPr>
          <w:p w14:paraId="63B455C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w:t>
            </w:r>
          </w:p>
        </w:tc>
      </w:tr>
      <w:tr w14:paraId="2BD76D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0EDF4A30">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vAlign w:val="center"/>
          </w:tcPr>
          <w:p w14:paraId="6C242DF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最大值</w:t>
            </w:r>
          </w:p>
        </w:tc>
        <w:tc>
          <w:tcPr>
            <w:tcW w:w="923" w:type="pct"/>
            <w:vAlign w:val="center"/>
          </w:tcPr>
          <w:p w14:paraId="43F58B1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100</w:t>
            </w:r>
          </w:p>
        </w:tc>
        <w:tc>
          <w:tcPr>
            <w:tcW w:w="923" w:type="pct"/>
            <w:vAlign w:val="center"/>
          </w:tcPr>
          <w:p w14:paraId="78AC338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100</w:t>
            </w:r>
          </w:p>
        </w:tc>
        <w:tc>
          <w:tcPr>
            <w:tcW w:w="876" w:type="pct"/>
            <w:vAlign w:val="center"/>
          </w:tcPr>
          <w:p w14:paraId="4981C32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68.94</w:t>
            </w:r>
          </w:p>
        </w:tc>
      </w:tr>
      <w:tr w14:paraId="45D60F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1CC308CD">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vAlign w:val="center"/>
          </w:tcPr>
          <w:p w14:paraId="4526AFA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变异系数（%）</w:t>
            </w:r>
          </w:p>
        </w:tc>
        <w:tc>
          <w:tcPr>
            <w:tcW w:w="923" w:type="pct"/>
            <w:vAlign w:val="center"/>
          </w:tcPr>
          <w:p w14:paraId="458A039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19.11</w:t>
            </w:r>
          </w:p>
        </w:tc>
        <w:tc>
          <w:tcPr>
            <w:tcW w:w="923" w:type="pct"/>
            <w:vAlign w:val="center"/>
          </w:tcPr>
          <w:p w14:paraId="7096890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26.00</w:t>
            </w:r>
          </w:p>
        </w:tc>
        <w:tc>
          <w:tcPr>
            <w:tcW w:w="876" w:type="pct"/>
            <w:vAlign w:val="center"/>
          </w:tcPr>
          <w:p w14:paraId="676579B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25.62</w:t>
            </w:r>
          </w:p>
        </w:tc>
      </w:tr>
      <w:tr w14:paraId="4BB8EC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restart"/>
            <w:vAlign w:val="center"/>
          </w:tcPr>
          <w:p w14:paraId="2937C1A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茎用莴苣</w:t>
            </w:r>
          </w:p>
        </w:tc>
        <w:tc>
          <w:tcPr>
            <w:tcW w:w="1398" w:type="pct"/>
            <w:shd w:val="clear" w:color="auto" w:fill="auto"/>
            <w:vAlign w:val="center"/>
          </w:tcPr>
          <w:p w14:paraId="3AB7383A">
            <w:pPr>
              <w:numPr>
                <w:ilvl w:val="0"/>
                <w:numId w:val="0"/>
              </w:numPr>
              <w:spacing w:before="156" w:beforeLines="50" w:after="156" w:afterLines="50"/>
              <w:ind w:left="0" w:leftChars="0" w:firstLine="0" w:firstLineChars="0"/>
              <w:jc w:val="center"/>
              <w:outlineLvl w:val="2"/>
              <w:rPr>
                <w:rFonts w:hint="eastAsia"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平均值</w:t>
            </w:r>
          </w:p>
        </w:tc>
        <w:tc>
          <w:tcPr>
            <w:tcW w:w="923" w:type="pct"/>
            <w:vAlign w:val="center"/>
          </w:tcPr>
          <w:p w14:paraId="61E9484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91.35</w:t>
            </w:r>
          </w:p>
        </w:tc>
        <w:tc>
          <w:tcPr>
            <w:tcW w:w="923" w:type="pct"/>
            <w:vAlign w:val="center"/>
          </w:tcPr>
          <w:p w14:paraId="2C45BE9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80.60</w:t>
            </w:r>
          </w:p>
        </w:tc>
        <w:tc>
          <w:tcPr>
            <w:tcW w:w="876" w:type="pct"/>
            <w:vAlign w:val="center"/>
          </w:tcPr>
          <w:p w14:paraId="13422E5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41.35</w:t>
            </w:r>
          </w:p>
        </w:tc>
      </w:tr>
      <w:tr w14:paraId="0B3F47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2C61BC1A">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shd w:val="clear" w:color="auto" w:fill="auto"/>
            <w:vAlign w:val="center"/>
          </w:tcPr>
          <w:p w14:paraId="16C8C90B">
            <w:pPr>
              <w:numPr>
                <w:ilvl w:val="0"/>
                <w:numId w:val="0"/>
              </w:numPr>
              <w:spacing w:before="156" w:beforeLines="50" w:after="156" w:afterLines="50"/>
              <w:ind w:left="0" w:leftChars="0" w:firstLine="0" w:firstLineChars="0"/>
              <w:jc w:val="center"/>
              <w:outlineLvl w:val="2"/>
              <w:rPr>
                <w:rFonts w:hint="eastAsia"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标准差</w:t>
            </w:r>
          </w:p>
        </w:tc>
        <w:tc>
          <w:tcPr>
            <w:tcW w:w="923" w:type="pct"/>
            <w:vAlign w:val="center"/>
          </w:tcPr>
          <w:p w14:paraId="5AB4B42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18.22</w:t>
            </w:r>
          </w:p>
        </w:tc>
        <w:tc>
          <w:tcPr>
            <w:tcW w:w="923" w:type="pct"/>
            <w:vAlign w:val="center"/>
          </w:tcPr>
          <w:p w14:paraId="305E2A9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24.91</w:t>
            </w:r>
          </w:p>
        </w:tc>
        <w:tc>
          <w:tcPr>
            <w:tcW w:w="876" w:type="pct"/>
            <w:vAlign w:val="center"/>
          </w:tcPr>
          <w:p w14:paraId="3500F0A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15.91</w:t>
            </w:r>
          </w:p>
        </w:tc>
      </w:tr>
      <w:tr w14:paraId="0874E2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5422A4A6">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shd w:val="clear" w:color="auto" w:fill="auto"/>
            <w:vAlign w:val="center"/>
          </w:tcPr>
          <w:p w14:paraId="3BBE84B7">
            <w:pPr>
              <w:numPr>
                <w:ilvl w:val="0"/>
                <w:numId w:val="0"/>
              </w:numPr>
              <w:spacing w:before="156" w:beforeLines="50" w:after="156" w:afterLines="50"/>
              <w:ind w:left="0" w:leftChars="0" w:firstLine="0" w:firstLineChars="0"/>
              <w:jc w:val="center"/>
              <w:outlineLvl w:val="2"/>
              <w:rPr>
                <w:rFonts w:hint="eastAsia"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最小值</w:t>
            </w:r>
          </w:p>
        </w:tc>
        <w:tc>
          <w:tcPr>
            <w:tcW w:w="923" w:type="pct"/>
            <w:vAlign w:val="center"/>
          </w:tcPr>
          <w:p w14:paraId="3E1D0C9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w:t>
            </w:r>
          </w:p>
        </w:tc>
        <w:tc>
          <w:tcPr>
            <w:tcW w:w="923" w:type="pct"/>
            <w:vAlign w:val="center"/>
          </w:tcPr>
          <w:p w14:paraId="131B0EA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w:t>
            </w:r>
          </w:p>
        </w:tc>
        <w:tc>
          <w:tcPr>
            <w:tcW w:w="876" w:type="pct"/>
            <w:vAlign w:val="center"/>
          </w:tcPr>
          <w:p w14:paraId="45DC4AE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w:t>
            </w:r>
          </w:p>
        </w:tc>
      </w:tr>
      <w:tr w14:paraId="76D65B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3261A2AD">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shd w:val="clear" w:color="auto" w:fill="auto"/>
            <w:vAlign w:val="center"/>
          </w:tcPr>
          <w:p w14:paraId="1091A731">
            <w:pPr>
              <w:numPr>
                <w:ilvl w:val="0"/>
                <w:numId w:val="0"/>
              </w:numPr>
              <w:spacing w:before="156" w:beforeLines="50" w:after="156" w:afterLines="50"/>
              <w:ind w:left="0" w:leftChars="0" w:firstLine="0" w:firstLineChars="0"/>
              <w:jc w:val="center"/>
              <w:outlineLvl w:val="2"/>
              <w:rPr>
                <w:rFonts w:hint="eastAsia"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最大值</w:t>
            </w:r>
          </w:p>
        </w:tc>
        <w:tc>
          <w:tcPr>
            <w:tcW w:w="923" w:type="pct"/>
            <w:vAlign w:val="center"/>
          </w:tcPr>
          <w:p w14:paraId="1C2ECB8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100</w:t>
            </w:r>
          </w:p>
        </w:tc>
        <w:tc>
          <w:tcPr>
            <w:tcW w:w="923" w:type="pct"/>
            <w:vAlign w:val="center"/>
          </w:tcPr>
          <w:p w14:paraId="69586BF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100</w:t>
            </w:r>
          </w:p>
        </w:tc>
        <w:tc>
          <w:tcPr>
            <w:tcW w:w="876" w:type="pct"/>
            <w:vAlign w:val="center"/>
          </w:tcPr>
          <w:p w14:paraId="0D919D7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76</w:t>
            </w:r>
          </w:p>
        </w:tc>
      </w:tr>
      <w:tr w14:paraId="48C7CA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pct"/>
            <w:vMerge w:val="continue"/>
            <w:vAlign w:val="center"/>
          </w:tcPr>
          <w:p w14:paraId="05B18A56">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1398" w:type="pct"/>
            <w:shd w:val="clear" w:color="auto" w:fill="auto"/>
            <w:vAlign w:val="center"/>
          </w:tcPr>
          <w:p w14:paraId="1891FF9D">
            <w:pPr>
              <w:numPr>
                <w:ilvl w:val="0"/>
                <w:numId w:val="0"/>
              </w:numPr>
              <w:spacing w:before="156" w:beforeLines="50" w:after="156" w:afterLines="50"/>
              <w:ind w:left="0" w:leftChars="0" w:firstLine="0" w:firstLineChars="0"/>
              <w:jc w:val="center"/>
              <w:outlineLvl w:val="2"/>
              <w:rPr>
                <w:rFonts w:hint="eastAsia"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变异系数（%）</w:t>
            </w:r>
          </w:p>
        </w:tc>
        <w:tc>
          <w:tcPr>
            <w:tcW w:w="923" w:type="pct"/>
            <w:vAlign w:val="center"/>
          </w:tcPr>
          <w:p w14:paraId="4E07961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19.94</w:t>
            </w:r>
          </w:p>
        </w:tc>
        <w:tc>
          <w:tcPr>
            <w:tcW w:w="923" w:type="pct"/>
            <w:vAlign w:val="center"/>
          </w:tcPr>
          <w:p w14:paraId="185CFAA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30.91</w:t>
            </w:r>
          </w:p>
        </w:tc>
        <w:tc>
          <w:tcPr>
            <w:tcW w:w="876" w:type="pct"/>
            <w:vAlign w:val="center"/>
          </w:tcPr>
          <w:p w14:paraId="4656820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38.49</w:t>
            </w:r>
          </w:p>
        </w:tc>
      </w:tr>
    </w:tbl>
    <w:p w14:paraId="5F60E961">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由表3可知，不同莴苣品种的发芽特性存在显著差异。在192份叶用莴苣中，平均发芽率为89.70%，变异系数为19.11%，变幅在0～100%之间，其中发芽率高于85%的品种为156个，达到商业化育苗一级种标准，发芽率为0的品种有4个；平均发芽势为78.30%，变异系数为26%；平均发芽指数为45.6，变异系数高达25.62%，变异幅度在0~68.94之间。在194份茎用莴苣中，平均发芽率为91.35%，变异系数为19.94%，变幅在0～100%之间，其中发芽率高于85%的品种为164个，发芽率为0的品种有4个；平均发芽势为80.6%，变异系数为30.91%，表明品种间发芽整齐度差异巨大；平均发芽指数为41.35，变异幅度在0~76之间，变异系数高达38.49%。</w:t>
      </w:r>
    </w:p>
    <w:p w14:paraId="7EA7826F">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不同类型莴苣发芽特性差异性与优良品种筛选</w:t>
      </w:r>
    </w:p>
    <w:p w14:paraId="6B69A9CA">
      <w:pPr>
        <w:numPr>
          <w:ilvl w:val="0"/>
          <w:numId w:val="0"/>
        </w:numPr>
        <w:spacing w:before="156" w:beforeLines="50" w:after="156" w:afterLines="50"/>
        <w:ind w:leftChars="0"/>
        <w:jc w:val="center"/>
        <w:outlineLvl w:val="2"/>
        <w:rPr>
          <w:rStyle w:val="8"/>
          <w:rFonts w:hint="eastAsia"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表4 叶用莴苣和茎用莴苣发芽特性方差分析</w:t>
      </w:r>
    </w:p>
    <w:tbl>
      <w:tblPr>
        <w:tblStyle w:val="4"/>
        <w:tblW w:w="4997"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45"/>
        <w:gridCol w:w="1425"/>
        <w:gridCol w:w="2275"/>
        <w:gridCol w:w="803"/>
        <w:gridCol w:w="929"/>
        <w:gridCol w:w="1140"/>
      </w:tblGrid>
      <w:tr w14:paraId="23DEE3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tcBorders>
              <w:bottom w:val="single" w:color="auto" w:sz="4" w:space="0"/>
            </w:tcBorders>
            <w:vAlign w:val="center"/>
          </w:tcPr>
          <w:p w14:paraId="2A5E41D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指标</w:t>
            </w:r>
          </w:p>
        </w:tc>
        <w:tc>
          <w:tcPr>
            <w:tcW w:w="836" w:type="pct"/>
            <w:tcBorders>
              <w:bottom w:val="single" w:color="auto" w:sz="4" w:space="0"/>
            </w:tcBorders>
            <w:vAlign w:val="center"/>
          </w:tcPr>
          <w:p w14:paraId="39563E4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类型</w:t>
            </w:r>
          </w:p>
        </w:tc>
        <w:tc>
          <w:tcPr>
            <w:tcW w:w="1335" w:type="pct"/>
            <w:tcBorders>
              <w:bottom w:val="single" w:color="auto" w:sz="4" w:space="0"/>
            </w:tcBorders>
            <w:vAlign w:val="center"/>
          </w:tcPr>
          <w:p w14:paraId="7C07999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平均值±标准差</w:t>
            </w:r>
          </w:p>
        </w:tc>
        <w:tc>
          <w:tcPr>
            <w:tcW w:w="471" w:type="pct"/>
            <w:tcBorders>
              <w:bottom w:val="single" w:color="auto" w:sz="4" w:space="0"/>
            </w:tcBorders>
            <w:vAlign w:val="center"/>
          </w:tcPr>
          <w:p w14:paraId="1191453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F值</w:t>
            </w:r>
          </w:p>
        </w:tc>
        <w:tc>
          <w:tcPr>
            <w:tcW w:w="545" w:type="pct"/>
            <w:tcBorders>
              <w:bottom w:val="single" w:color="auto" w:sz="4" w:space="0"/>
            </w:tcBorders>
            <w:vAlign w:val="center"/>
          </w:tcPr>
          <w:p w14:paraId="617D930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P值</w:t>
            </w:r>
          </w:p>
        </w:tc>
        <w:tc>
          <w:tcPr>
            <w:tcW w:w="669" w:type="pct"/>
            <w:tcBorders>
              <w:bottom w:val="single" w:color="auto" w:sz="4" w:space="0"/>
            </w:tcBorders>
            <w:vAlign w:val="center"/>
          </w:tcPr>
          <w:p w14:paraId="0392BBA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显著性</w:t>
            </w:r>
          </w:p>
        </w:tc>
      </w:tr>
      <w:tr w14:paraId="1DADA5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vMerge w:val="restart"/>
            <w:tcBorders>
              <w:top w:val="single" w:color="auto" w:sz="4" w:space="0"/>
            </w:tcBorders>
            <w:vAlign w:val="center"/>
          </w:tcPr>
          <w:p w14:paraId="376E8F85">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发芽率（%）</w:t>
            </w:r>
          </w:p>
        </w:tc>
        <w:tc>
          <w:tcPr>
            <w:tcW w:w="836" w:type="pct"/>
            <w:tcBorders>
              <w:top w:val="single" w:color="auto" w:sz="4" w:space="0"/>
            </w:tcBorders>
            <w:vAlign w:val="center"/>
          </w:tcPr>
          <w:p w14:paraId="0D71BAB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叶用莴苣</w:t>
            </w:r>
          </w:p>
        </w:tc>
        <w:tc>
          <w:tcPr>
            <w:tcW w:w="1335" w:type="pct"/>
            <w:tcBorders>
              <w:top w:val="single" w:color="auto" w:sz="4" w:space="0"/>
            </w:tcBorders>
            <w:vAlign w:val="center"/>
          </w:tcPr>
          <w:p w14:paraId="35FA079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89.70±18.20</w:t>
            </w:r>
          </w:p>
        </w:tc>
        <w:tc>
          <w:tcPr>
            <w:tcW w:w="471" w:type="pct"/>
            <w:vMerge w:val="restart"/>
            <w:tcBorders>
              <w:top w:val="single" w:color="auto" w:sz="4" w:space="0"/>
            </w:tcBorders>
            <w:vAlign w:val="center"/>
          </w:tcPr>
          <w:p w14:paraId="4F2508C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1.12</w:t>
            </w:r>
          </w:p>
        </w:tc>
        <w:tc>
          <w:tcPr>
            <w:tcW w:w="545" w:type="pct"/>
            <w:vMerge w:val="restart"/>
            <w:tcBorders>
              <w:top w:val="single" w:color="auto" w:sz="4" w:space="0"/>
            </w:tcBorders>
            <w:vAlign w:val="center"/>
          </w:tcPr>
          <w:p w14:paraId="7EDB225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0.291</w:t>
            </w:r>
          </w:p>
        </w:tc>
        <w:tc>
          <w:tcPr>
            <w:tcW w:w="669" w:type="pct"/>
            <w:vMerge w:val="restart"/>
            <w:tcBorders>
              <w:top w:val="single" w:color="auto" w:sz="4" w:space="0"/>
            </w:tcBorders>
            <w:vAlign w:val="center"/>
          </w:tcPr>
          <w:p w14:paraId="31582A6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ns</w:t>
            </w:r>
          </w:p>
        </w:tc>
      </w:tr>
      <w:tr w14:paraId="395077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vMerge w:val="continue"/>
            <w:vAlign w:val="center"/>
          </w:tcPr>
          <w:p w14:paraId="7174244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836" w:type="pct"/>
            <w:vAlign w:val="center"/>
          </w:tcPr>
          <w:p w14:paraId="4CB3C23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茎用莴苣</w:t>
            </w:r>
          </w:p>
        </w:tc>
        <w:tc>
          <w:tcPr>
            <w:tcW w:w="1335" w:type="pct"/>
            <w:vAlign w:val="center"/>
          </w:tcPr>
          <w:p w14:paraId="7541826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91.35±18.22</w:t>
            </w:r>
          </w:p>
        </w:tc>
        <w:tc>
          <w:tcPr>
            <w:tcW w:w="471" w:type="pct"/>
            <w:vMerge w:val="continue"/>
            <w:vAlign w:val="center"/>
          </w:tcPr>
          <w:p w14:paraId="328483F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545" w:type="pct"/>
            <w:vMerge w:val="continue"/>
            <w:vAlign w:val="center"/>
          </w:tcPr>
          <w:p w14:paraId="42043E3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669" w:type="pct"/>
            <w:vMerge w:val="continue"/>
            <w:vAlign w:val="center"/>
          </w:tcPr>
          <w:p w14:paraId="393AC58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r>
      <w:tr w14:paraId="0D4490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vMerge w:val="restart"/>
            <w:vAlign w:val="center"/>
          </w:tcPr>
          <w:p w14:paraId="0DB2D9D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发芽势（%）</w:t>
            </w:r>
          </w:p>
        </w:tc>
        <w:tc>
          <w:tcPr>
            <w:tcW w:w="836" w:type="pct"/>
            <w:shd w:val="clear" w:color="auto" w:fill="auto"/>
            <w:vAlign w:val="center"/>
          </w:tcPr>
          <w:p w14:paraId="13C6E71A">
            <w:pPr>
              <w:numPr>
                <w:ilvl w:val="0"/>
                <w:numId w:val="0"/>
              </w:numPr>
              <w:spacing w:before="156" w:beforeLines="50" w:after="156" w:afterLines="50"/>
              <w:ind w:left="0" w:leftChars="0" w:firstLine="0" w:firstLineChars="0"/>
              <w:jc w:val="center"/>
              <w:outlineLvl w:val="2"/>
              <w:rPr>
                <w:rFonts w:hint="default"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叶用莴苣</w:t>
            </w:r>
          </w:p>
        </w:tc>
        <w:tc>
          <w:tcPr>
            <w:tcW w:w="1335" w:type="pct"/>
            <w:vAlign w:val="center"/>
          </w:tcPr>
          <w:p w14:paraId="2DFFE45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78.30±12.55</w:t>
            </w:r>
          </w:p>
        </w:tc>
        <w:tc>
          <w:tcPr>
            <w:tcW w:w="471" w:type="pct"/>
            <w:vMerge w:val="restart"/>
            <w:vAlign w:val="center"/>
          </w:tcPr>
          <w:p w14:paraId="1D2FC9F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1.65</w:t>
            </w:r>
          </w:p>
        </w:tc>
        <w:tc>
          <w:tcPr>
            <w:tcW w:w="545" w:type="pct"/>
            <w:vMerge w:val="restart"/>
            <w:vAlign w:val="center"/>
          </w:tcPr>
          <w:p w14:paraId="6B27AC3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0.200</w:t>
            </w:r>
          </w:p>
        </w:tc>
        <w:tc>
          <w:tcPr>
            <w:tcW w:w="669" w:type="pct"/>
            <w:vMerge w:val="restart"/>
            <w:vAlign w:val="center"/>
          </w:tcPr>
          <w:p w14:paraId="5095212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ns</w:t>
            </w:r>
          </w:p>
        </w:tc>
      </w:tr>
      <w:tr w14:paraId="308602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vMerge w:val="continue"/>
            <w:vAlign w:val="center"/>
          </w:tcPr>
          <w:p w14:paraId="57735F90">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836" w:type="pct"/>
            <w:shd w:val="clear" w:color="auto" w:fill="auto"/>
            <w:vAlign w:val="center"/>
          </w:tcPr>
          <w:p w14:paraId="3DA6AD4D">
            <w:pPr>
              <w:numPr>
                <w:ilvl w:val="0"/>
                <w:numId w:val="0"/>
              </w:numPr>
              <w:spacing w:before="156" w:beforeLines="50" w:after="156" w:afterLines="50"/>
              <w:ind w:left="0" w:leftChars="0" w:firstLine="0" w:firstLineChars="0"/>
              <w:jc w:val="center"/>
              <w:outlineLvl w:val="2"/>
              <w:rPr>
                <w:rFonts w:hint="default"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茎用莴苣</w:t>
            </w:r>
          </w:p>
        </w:tc>
        <w:tc>
          <w:tcPr>
            <w:tcW w:w="1335" w:type="pct"/>
            <w:vAlign w:val="center"/>
          </w:tcPr>
          <w:p w14:paraId="30C879D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80.60±24.91</w:t>
            </w:r>
          </w:p>
        </w:tc>
        <w:tc>
          <w:tcPr>
            <w:tcW w:w="471" w:type="pct"/>
            <w:vMerge w:val="continue"/>
            <w:vAlign w:val="center"/>
          </w:tcPr>
          <w:p w14:paraId="0019E48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545" w:type="pct"/>
            <w:vMerge w:val="continue"/>
            <w:vAlign w:val="center"/>
          </w:tcPr>
          <w:p w14:paraId="6063EFD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669" w:type="pct"/>
            <w:vMerge w:val="continue"/>
            <w:vAlign w:val="center"/>
          </w:tcPr>
          <w:p w14:paraId="6D3FC79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r>
      <w:tr w14:paraId="3B4FCE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vMerge w:val="restart"/>
            <w:vAlign w:val="center"/>
          </w:tcPr>
          <w:p w14:paraId="5302E74F">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发芽指数</w:t>
            </w:r>
          </w:p>
        </w:tc>
        <w:tc>
          <w:tcPr>
            <w:tcW w:w="836" w:type="pct"/>
            <w:shd w:val="clear" w:color="auto" w:fill="auto"/>
            <w:vAlign w:val="center"/>
          </w:tcPr>
          <w:p w14:paraId="6C686A62">
            <w:pPr>
              <w:numPr>
                <w:ilvl w:val="0"/>
                <w:numId w:val="0"/>
              </w:numPr>
              <w:spacing w:before="156" w:beforeLines="50" w:after="156" w:afterLines="50"/>
              <w:ind w:left="0" w:leftChars="0" w:firstLine="0" w:firstLineChars="0"/>
              <w:jc w:val="center"/>
              <w:outlineLvl w:val="2"/>
              <w:rPr>
                <w:rFonts w:hint="default"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叶用莴苣</w:t>
            </w:r>
          </w:p>
        </w:tc>
        <w:tc>
          <w:tcPr>
            <w:tcW w:w="1335" w:type="pct"/>
            <w:vAlign w:val="center"/>
          </w:tcPr>
          <w:p w14:paraId="1D2AAC3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45.60±17.14</w:t>
            </w:r>
          </w:p>
        </w:tc>
        <w:tc>
          <w:tcPr>
            <w:tcW w:w="471" w:type="pct"/>
            <w:vMerge w:val="restart"/>
            <w:vAlign w:val="center"/>
          </w:tcPr>
          <w:p w14:paraId="59786C0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7.25</w:t>
            </w:r>
          </w:p>
        </w:tc>
        <w:tc>
          <w:tcPr>
            <w:tcW w:w="545" w:type="pct"/>
            <w:vMerge w:val="restart"/>
            <w:vAlign w:val="center"/>
          </w:tcPr>
          <w:p w14:paraId="5870370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0.007</w:t>
            </w:r>
          </w:p>
        </w:tc>
        <w:tc>
          <w:tcPr>
            <w:tcW w:w="669" w:type="pct"/>
            <w:vMerge w:val="restart"/>
            <w:vAlign w:val="center"/>
          </w:tcPr>
          <w:p w14:paraId="4206D76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w:t>
            </w:r>
          </w:p>
        </w:tc>
      </w:tr>
      <w:tr w14:paraId="6D7311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1" w:type="pct"/>
            <w:vMerge w:val="continue"/>
            <w:vAlign w:val="center"/>
          </w:tcPr>
          <w:p w14:paraId="467A6820">
            <w:pPr>
              <w:numPr>
                <w:ilvl w:val="0"/>
                <w:numId w:val="0"/>
              </w:numPr>
              <w:spacing w:before="156" w:beforeLines="50" w:after="156" w:afterLines="50"/>
              <w:jc w:val="center"/>
              <w:outlineLvl w:val="2"/>
              <w:rPr>
                <w:rStyle w:val="8"/>
                <w:rFonts w:hint="eastAsia" w:eastAsia="方正仿宋_GB2312" w:cstheme="minorBidi"/>
                <w:b w:val="0"/>
                <w:bCs/>
                <w:sz w:val="21"/>
                <w:szCs w:val="21"/>
                <w:vertAlign w:val="baseline"/>
                <w:lang w:val="en-US" w:eastAsia="zh-CN"/>
              </w:rPr>
            </w:pPr>
          </w:p>
        </w:tc>
        <w:tc>
          <w:tcPr>
            <w:tcW w:w="836" w:type="pct"/>
            <w:shd w:val="clear" w:color="auto" w:fill="auto"/>
            <w:vAlign w:val="center"/>
          </w:tcPr>
          <w:p w14:paraId="7D1A50D5">
            <w:pPr>
              <w:numPr>
                <w:ilvl w:val="0"/>
                <w:numId w:val="0"/>
              </w:numPr>
              <w:spacing w:before="156" w:beforeLines="50" w:after="156" w:afterLines="50"/>
              <w:ind w:left="0" w:leftChars="0" w:firstLine="0" w:firstLineChars="0"/>
              <w:jc w:val="center"/>
              <w:outlineLvl w:val="2"/>
              <w:rPr>
                <w:rFonts w:hint="default" w:ascii="Times New Roman" w:hAnsi="Times New Roman" w:eastAsia="方正仿宋_GB2312" w:cstheme="minorBidi"/>
                <w:b w:val="0"/>
                <w:bCs/>
                <w:color w:val="000000"/>
                <w:kern w:val="2"/>
                <w:sz w:val="21"/>
                <w:szCs w:val="21"/>
                <w:vertAlign w:val="baseline"/>
                <w:lang w:val="en-US" w:eastAsia="zh-CN" w:bidi="ar-SA"/>
              </w:rPr>
            </w:pPr>
            <w:r>
              <w:rPr>
                <w:rStyle w:val="8"/>
                <w:rFonts w:hint="eastAsia" w:eastAsia="方正仿宋_GB2312" w:cstheme="minorBidi"/>
                <w:b w:val="0"/>
                <w:bCs/>
                <w:sz w:val="21"/>
                <w:szCs w:val="21"/>
                <w:vertAlign w:val="baseline"/>
                <w:lang w:val="en-US" w:eastAsia="zh-CN"/>
              </w:rPr>
              <w:t>茎用莴苣</w:t>
            </w:r>
          </w:p>
        </w:tc>
        <w:tc>
          <w:tcPr>
            <w:tcW w:w="1335" w:type="pct"/>
            <w:vAlign w:val="center"/>
          </w:tcPr>
          <w:p w14:paraId="01D29F9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41.35±15.91</w:t>
            </w:r>
          </w:p>
        </w:tc>
        <w:tc>
          <w:tcPr>
            <w:tcW w:w="471" w:type="pct"/>
            <w:vMerge w:val="continue"/>
            <w:vAlign w:val="center"/>
          </w:tcPr>
          <w:p w14:paraId="29D433C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545" w:type="pct"/>
            <w:vMerge w:val="continue"/>
            <w:vAlign w:val="center"/>
          </w:tcPr>
          <w:p w14:paraId="2A3DCF8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c>
          <w:tcPr>
            <w:tcW w:w="669" w:type="pct"/>
            <w:vMerge w:val="continue"/>
            <w:vAlign w:val="center"/>
          </w:tcPr>
          <w:p w14:paraId="20AD0DE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p>
        </w:tc>
      </w:tr>
    </w:tbl>
    <w:p w14:paraId="5482CBF2">
      <w:pPr>
        <w:numPr>
          <w:ilvl w:val="0"/>
          <w:numId w:val="0"/>
        </w:numPr>
        <w:spacing w:before="156" w:beforeLines="50" w:after="156" w:afterLines="50"/>
        <w:outlineLvl w:val="2"/>
        <w:rPr>
          <w:rStyle w:val="8"/>
          <w:rFonts w:hint="eastAsia" w:eastAsia="方正仿宋_GB2312" w:cstheme="minorBidi"/>
          <w:b w:val="0"/>
          <w:bCs/>
          <w:sz w:val="21"/>
          <w:szCs w:val="21"/>
          <w:lang w:val="en-US" w:eastAsia="zh-CN"/>
        </w:rPr>
      </w:pPr>
      <w:r>
        <w:rPr>
          <w:rStyle w:val="8"/>
          <w:rFonts w:hint="eastAsia" w:eastAsia="方正仿宋_GB2312" w:cstheme="minorBidi"/>
          <w:b w:val="0"/>
          <w:bCs/>
          <w:sz w:val="21"/>
          <w:szCs w:val="21"/>
          <w:lang w:val="en-US" w:eastAsia="zh-CN"/>
        </w:rPr>
        <w:t>注：表示在</w:t>
      </w:r>
      <w:r>
        <w:rPr>
          <w:rStyle w:val="8"/>
          <w:rFonts w:hint="eastAsia" w:eastAsia="方正仿宋_GB2312" w:cstheme="minorBidi"/>
          <w:b w:val="0"/>
          <w:bCs/>
          <w:i/>
          <w:iCs/>
          <w:sz w:val="21"/>
          <w:szCs w:val="21"/>
          <w:lang w:val="en-US" w:eastAsia="zh-CN"/>
        </w:rPr>
        <w:t>P</w:t>
      </w:r>
      <w:r>
        <w:rPr>
          <w:rStyle w:val="8"/>
          <w:rFonts w:hint="eastAsia" w:eastAsia="方正仿宋_GB2312" w:cstheme="minorBidi"/>
          <w:b w:val="0"/>
          <w:bCs/>
          <w:sz w:val="21"/>
          <w:szCs w:val="21"/>
          <w:lang w:val="en-US" w:eastAsia="zh-CN"/>
        </w:rPr>
        <w:t>&lt;0.05水平差异显著；**表示在P&lt;0.01水平差异显著；ns表示差异不显著。</w:t>
      </w:r>
    </w:p>
    <w:p w14:paraId="45476EB6">
      <w:pPr>
        <w:numPr>
          <w:ilvl w:val="0"/>
          <w:numId w:val="0"/>
        </w:numPr>
        <w:spacing w:before="156" w:beforeLines="50" w:after="156" w:afterLines="50"/>
        <w:ind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由表4可知，叶用与茎用莴苣在平均发芽率和平均发芽势上均无统计学上的显著差异（</w:t>
      </w:r>
      <w:r>
        <w:rPr>
          <w:rStyle w:val="8"/>
          <w:rFonts w:hint="eastAsia" w:eastAsia="方正仿宋_GB2312" w:cstheme="minorBidi"/>
          <w:b w:val="0"/>
          <w:bCs/>
          <w:i/>
          <w:iCs/>
          <w:sz w:val="32"/>
          <w:szCs w:val="32"/>
          <w:lang w:val="en-US" w:eastAsia="zh-CN"/>
        </w:rPr>
        <w:t>P</w:t>
      </w:r>
      <w:r>
        <w:rPr>
          <w:rStyle w:val="8"/>
          <w:rFonts w:hint="eastAsia" w:eastAsia="方正仿宋_GB2312" w:cstheme="minorBidi"/>
          <w:b w:val="0"/>
          <w:bCs/>
          <w:sz w:val="32"/>
          <w:szCs w:val="32"/>
          <w:lang w:val="en-US" w:eastAsia="zh-CN"/>
        </w:rPr>
        <w:t>&gt;0.05）。这意味着从整体来看，两类莴苣的最终萌发能力和前期发芽速度没有本质区别。两类莴苣在发芽指数上存在极显著差异（</w:t>
      </w:r>
      <w:r>
        <w:rPr>
          <w:rStyle w:val="8"/>
          <w:rFonts w:hint="eastAsia" w:eastAsia="方正仿宋_GB2312" w:cstheme="minorBidi"/>
          <w:b w:val="0"/>
          <w:bCs/>
          <w:i/>
          <w:iCs/>
          <w:sz w:val="32"/>
          <w:szCs w:val="32"/>
          <w:lang w:val="en-US" w:eastAsia="zh-CN"/>
        </w:rPr>
        <w:t>P</w:t>
      </w:r>
      <w:r>
        <w:rPr>
          <w:rStyle w:val="8"/>
          <w:rFonts w:hint="eastAsia" w:eastAsia="方正仿宋_GB2312" w:cstheme="minorBidi"/>
          <w:b w:val="0"/>
          <w:bCs/>
          <w:sz w:val="32"/>
          <w:szCs w:val="32"/>
          <w:lang w:val="en-US" w:eastAsia="zh-CN"/>
        </w:rPr>
        <w:t>&lt;0.01）。叶用莴苣的平均发芽指数（45.60）显著高于茎用莴苣（41.35）。这表明叶用莴苣种子的综合发芽活力显著优于茎用莴苣，这对于集约化育苗中追求快速成苗至关重要。</w:t>
      </w:r>
    </w:p>
    <w:p w14:paraId="3707B074">
      <w:pPr>
        <w:numPr>
          <w:ilvl w:val="0"/>
          <w:numId w:val="0"/>
        </w:numPr>
        <w:spacing w:before="156" w:beforeLines="50" w:after="156" w:afterLines="50"/>
        <w:ind w:firstLine="210" w:firstLineChars="100"/>
        <w:jc w:val="center"/>
        <w:outlineLvl w:val="2"/>
        <w:rPr>
          <w:rStyle w:val="8"/>
          <w:rFonts w:hint="eastAsia"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表5 不同类型达标与高活力品种分布</w:t>
      </w:r>
    </w:p>
    <w:tbl>
      <w:tblPr>
        <w:tblStyle w:val="4"/>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16"/>
        <w:gridCol w:w="1125"/>
        <w:gridCol w:w="1964"/>
        <w:gridCol w:w="1911"/>
        <w:gridCol w:w="2206"/>
      </w:tblGrid>
      <w:tr w14:paraId="42F1B5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pct"/>
            <w:tcBorders>
              <w:bottom w:val="single" w:color="auto" w:sz="4" w:space="0"/>
            </w:tcBorders>
            <w:vAlign w:val="center"/>
          </w:tcPr>
          <w:p w14:paraId="0325916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类型</w:t>
            </w:r>
          </w:p>
        </w:tc>
        <w:tc>
          <w:tcPr>
            <w:tcW w:w="660" w:type="pct"/>
            <w:tcBorders>
              <w:bottom w:val="single" w:color="auto" w:sz="4" w:space="0"/>
            </w:tcBorders>
            <w:vAlign w:val="center"/>
          </w:tcPr>
          <w:p w14:paraId="2DAEFFA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资源总数</w:t>
            </w:r>
          </w:p>
        </w:tc>
        <w:tc>
          <w:tcPr>
            <w:tcW w:w="1152" w:type="pct"/>
            <w:tcBorders>
              <w:bottom w:val="single" w:color="auto" w:sz="4" w:space="0"/>
            </w:tcBorders>
            <w:vAlign w:val="center"/>
          </w:tcPr>
          <w:p w14:paraId="0E818E8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发芽率≥85%</w:t>
            </w:r>
            <w:r>
              <w:rPr>
                <w:rStyle w:val="8"/>
                <w:rFonts w:hint="default" w:eastAsia="方正仿宋_GB2312" w:cstheme="minorBidi"/>
                <w:b w:val="0"/>
                <w:bCs/>
                <w:sz w:val="21"/>
                <w:szCs w:val="21"/>
                <w:vertAlign w:val="baseline"/>
                <w:lang w:val="en-US" w:eastAsia="zh-CN"/>
              </w:rPr>
              <w:t>份数(占比)</w:t>
            </w:r>
          </w:p>
        </w:tc>
        <w:tc>
          <w:tcPr>
            <w:tcW w:w="1121" w:type="pct"/>
            <w:tcBorders>
              <w:bottom w:val="single" w:color="auto" w:sz="4" w:space="0"/>
            </w:tcBorders>
            <w:vAlign w:val="center"/>
          </w:tcPr>
          <w:p w14:paraId="6332F35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发芽指数≥50</w:t>
            </w:r>
            <w:r>
              <w:rPr>
                <w:rStyle w:val="8"/>
                <w:rFonts w:hint="default" w:eastAsia="方正仿宋_GB2312" w:cstheme="minorBidi"/>
                <w:b w:val="0"/>
                <w:bCs/>
                <w:sz w:val="21"/>
                <w:szCs w:val="21"/>
                <w:vertAlign w:val="baseline"/>
                <w:lang w:val="en-US" w:eastAsia="zh-CN"/>
              </w:rPr>
              <w:t>份数(占比)</w:t>
            </w:r>
          </w:p>
        </w:tc>
        <w:tc>
          <w:tcPr>
            <w:tcW w:w="1293" w:type="pct"/>
            <w:tcBorders>
              <w:bottom w:val="single" w:color="auto" w:sz="4" w:space="0"/>
            </w:tcBorders>
            <w:vAlign w:val="center"/>
          </w:tcPr>
          <w:p w14:paraId="0941EDD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default" w:eastAsia="方正仿宋_GB2312" w:cstheme="minorBidi"/>
                <w:b w:val="0"/>
                <w:bCs/>
                <w:sz w:val="21"/>
                <w:szCs w:val="21"/>
                <w:vertAlign w:val="baseline"/>
                <w:lang w:val="en-US" w:eastAsia="zh-CN"/>
              </w:rPr>
              <w:t>同时满足GR≥85%且GI≥50份数(占比)</w:t>
            </w:r>
          </w:p>
        </w:tc>
      </w:tr>
      <w:tr w14:paraId="78FD7E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pct"/>
            <w:tcBorders>
              <w:top w:val="single" w:color="auto" w:sz="4" w:space="0"/>
            </w:tcBorders>
            <w:vAlign w:val="center"/>
          </w:tcPr>
          <w:p w14:paraId="20858BD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叶用莴苣</w:t>
            </w:r>
          </w:p>
        </w:tc>
        <w:tc>
          <w:tcPr>
            <w:tcW w:w="660" w:type="pct"/>
            <w:tcBorders>
              <w:top w:val="single" w:color="auto" w:sz="4" w:space="0"/>
            </w:tcBorders>
            <w:vAlign w:val="center"/>
          </w:tcPr>
          <w:p w14:paraId="599ADA4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192</w:t>
            </w:r>
          </w:p>
        </w:tc>
        <w:tc>
          <w:tcPr>
            <w:tcW w:w="1152" w:type="pct"/>
            <w:tcBorders>
              <w:top w:val="single" w:color="auto" w:sz="4" w:space="0"/>
            </w:tcBorders>
            <w:vAlign w:val="center"/>
          </w:tcPr>
          <w:p w14:paraId="4D8F834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156（81.3%）</w:t>
            </w:r>
          </w:p>
        </w:tc>
        <w:tc>
          <w:tcPr>
            <w:tcW w:w="1121" w:type="pct"/>
            <w:tcBorders>
              <w:top w:val="single" w:color="auto" w:sz="4" w:space="0"/>
            </w:tcBorders>
            <w:vAlign w:val="center"/>
          </w:tcPr>
          <w:p w14:paraId="682C3C2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82（42.7%）</w:t>
            </w:r>
          </w:p>
        </w:tc>
        <w:tc>
          <w:tcPr>
            <w:tcW w:w="1293" w:type="pct"/>
            <w:tcBorders>
              <w:top w:val="single" w:color="auto" w:sz="4" w:space="0"/>
            </w:tcBorders>
            <w:vAlign w:val="center"/>
          </w:tcPr>
          <w:p w14:paraId="635374D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68（35.4%）</w:t>
            </w:r>
          </w:p>
        </w:tc>
      </w:tr>
      <w:tr w14:paraId="5E79E0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pct"/>
            <w:vAlign w:val="center"/>
          </w:tcPr>
          <w:p w14:paraId="271D905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茎用莴苣</w:t>
            </w:r>
          </w:p>
        </w:tc>
        <w:tc>
          <w:tcPr>
            <w:tcW w:w="660" w:type="pct"/>
            <w:vAlign w:val="center"/>
          </w:tcPr>
          <w:p w14:paraId="5A7CCDC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194</w:t>
            </w:r>
          </w:p>
        </w:tc>
        <w:tc>
          <w:tcPr>
            <w:tcW w:w="1152" w:type="pct"/>
            <w:vAlign w:val="center"/>
          </w:tcPr>
          <w:p w14:paraId="65F9EB4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164（84.5%）</w:t>
            </w:r>
          </w:p>
        </w:tc>
        <w:tc>
          <w:tcPr>
            <w:tcW w:w="1121" w:type="pct"/>
            <w:vAlign w:val="center"/>
          </w:tcPr>
          <w:p w14:paraId="4C93ED6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62（32.0%）</w:t>
            </w:r>
          </w:p>
        </w:tc>
        <w:tc>
          <w:tcPr>
            <w:tcW w:w="1293" w:type="pct"/>
            <w:vAlign w:val="center"/>
          </w:tcPr>
          <w:p w14:paraId="26C09785">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52（26.8%）</w:t>
            </w:r>
          </w:p>
        </w:tc>
      </w:tr>
    </w:tbl>
    <w:p w14:paraId="098D7084">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参照商业化育苗一级种标准（发芽率≥85%），我们对供试种质进行了达标率统计，并进一步分析了高活力品种（发芽指数≥50）的分布</w:t>
      </w:r>
      <w:r>
        <w:rPr>
          <w:rStyle w:val="8"/>
          <w:rFonts w:hint="eastAsia" w:eastAsia="方正仿宋_GB2312" w:cstheme="minorBidi"/>
          <w:b w:val="0"/>
          <w:bCs/>
          <w:sz w:val="32"/>
          <w:szCs w:val="32"/>
          <w:lang w:val="en-US" w:eastAsia="zh-CN"/>
        </w:rPr>
        <w:t>。由</w:t>
      </w:r>
      <w:r>
        <w:rPr>
          <w:rStyle w:val="8"/>
          <w:rFonts w:hint="default" w:eastAsia="方正仿宋_GB2312" w:cstheme="minorBidi"/>
          <w:b w:val="0"/>
          <w:bCs/>
          <w:sz w:val="32"/>
          <w:szCs w:val="32"/>
          <w:lang w:val="en-US" w:eastAsia="zh-CN"/>
        </w:rPr>
        <w:t>表5</w:t>
      </w:r>
      <w:r>
        <w:rPr>
          <w:rStyle w:val="8"/>
          <w:rFonts w:hint="eastAsia" w:eastAsia="方正仿宋_GB2312" w:cstheme="minorBidi"/>
          <w:b w:val="0"/>
          <w:bCs/>
          <w:sz w:val="32"/>
          <w:szCs w:val="32"/>
          <w:lang w:val="en-US" w:eastAsia="zh-CN"/>
        </w:rPr>
        <w:t>可知，茎用莴苣的发芽率达标率（84.5%）略高于叶用莴苣（81.3%），二者均拥有大量达标种质。在衡量发芽活力的关键指标上，叶用莴苣表现更优。高达42.7%的叶用莴苣品种发芽指数在50以上，而茎用莴苣中这一比例仅为32.0%。将发芽率与发芽指数结合，筛选同时满足“高发芽率（≥85%）”和“高发芽活力（GI≥50）”的品种，其中叶用莴苣中有68份（占比35.4%），茎用莴苣中有52份（占比26.8%），可被初步认定为发芽特性优异的种质资源。</w:t>
      </w:r>
    </w:p>
    <w:p w14:paraId="5268CD69">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小结</w:t>
      </w:r>
    </w:p>
    <w:p w14:paraId="592258BB">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综上所述</w:t>
      </w:r>
      <w:r>
        <w:rPr>
          <w:rStyle w:val="8"/>
          <w:rFonts w:hint="default" w:eastAsia="方正仿宋_GB2312" w:cstheme="minorBidi"/>
          <w:b w:val="0"/>
          <w:bCs/>
          <w:sz w:val="32"/>
          <w:szCs w:val="32"/>
          <w:lang w:val="en-US" w:eastAsia="zh-CN"/>
        </w:rPr>
        <w:t>，供试的386份莴苣种质资源在发芽特性上表现出丰富的多样性。叶用与茎用莴苣在发芽率和发芽势上无显著差异，但叶用莴苣</w:t>
      </w:r>
      <w:r>
        <w:rPr>
          <w:rStyle w:val="8"/>
          <w:rFonts w:hint="eastAsia" w:eastAsia="方正仿宋_GB2312" w:cstheme="minorBidi"/>
          <w:b w:val="0"/>
          <w:bCs/>
          <w:sz w:val="32"/>
          <w:szCs w:val="32"/>
          <w:lang w:val="en-US" w:eastAsia="zh-CN"/>
        </w:rPr>
        <w:t>的</w:t>
      </w:r>
      <w:r>
        <w:rPr>
          <w:rStyle w:val="8"/>
          <w:rFonts w:hint="default" w:eastAsia="方正仿宋_GB2312" w:cstheme="minorBidi"/>
          <w:b w:val="0"/>
          <w:bCs/>
          <w:sz w:val="32"/>
          <w:szCs w:val="32"/>
          <w:lang w:val="en-US" w:eastAsia="zh-CN"/>
        </w:rPr>
        <w:t>发芽指数显著优于茎用莴苣</w:t>
      </w:r>
      <w:r>
        <w:rPr>
          <w:rStyle w:val="8"/>
          <w:rFonts w:hint="eastAsia" w:eastAsia="方正仿宋_GB2312" w:cstheme="minorBidi"/>
          <w:b w:val="0"/>
          <w:bCs/>
          <w:sz w:val="32"/>
          <w:szCs w:val="32"/>
          <w:lang w:val="en-US" w:eastAsia="zh-CN"/>
        </w:rPr>
        <w:t>，但</w:t>
      </w:r>
      <w:r>
        <w:rPr>
          <w:rStyle w:val="8"/>
          <w:rFonts w:hint="default" w:eastAsia="方正仿宋_GB2312" w:cstheme="minorBidi"/>
          <w:b w:val="0"/>
          <w:bCs/>
          <w:sz w:val="32"/>
          <w:szCs w:val="32"/>
          <w:lang w:val="en-US" w:eastAsia="zh-CN"/>
        </w:rPr>
        <w:t>茎用莴苣在发芽势和发芽指数上表现出更大的品种间变异。通过设定发芽率（≥85%）与发芽指数（≥50）的双重筛选标准，成功从全部资源中筛选出120份发芽特性优异的核心种质</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其中叶用</w:t>
      </w:r>
      <w:r>
        <w:rPr>
          <w:rStyle w:val="8"/>
          <w:rFonts w:hint="eastAsia" w:eastAsia="方正仿宋_GB2312" w:cstheme="minorBidi"/>
          <w:b w:val="0"/>
          <w:bCs/>
          <w:sz w:val="32"/>
          <w:szCs w:val="32"/>
          <w:lang w:val="en-US" w:eastAsia="zh-CN"/>
        </w:rPr>
        <w:t>莴苣</w:t>
      </w:r>
      <w:r>
        <w:rPr>
          <w:rStyle w:val="8"/>
          <w:rFonts w:hint="default" w:eastAsia="方正仿宋_GB2312" w:cstheme="minorBidi"/>
          <w:b w:val="0"/>
          <w:bCs/>
          <w:sz w:val="32"/>
          <w:szCs w:val="32"/>
          <w:lang w:val="en-US" w:eastAsia="zh-CN"/>
        </w:rPr>
        <w:t>68份，茎用</w:t>
      </w:r>
      <w:r>
        <w:rPr>
          <w:rStyle w:val="8"/>
          <w:rFonts w:hint="eastAsia" w:eastAsia="方正仿宋_GB2312" w:cstheme="minorBidi"/>
          <w:b w:val="0"/>
          <w:bCs/>
          <w:sz w:val="32"/>
          <w:szCs w:val="32"/>
          <w:lang w:val="en-US" w:eastAsia="zh-CN"/>
        </w:rPr>
        <w:t>莴苣</w:t>
      </w:r>
      <w:r>
        <w:rPr>
          <w:rStyle w:val="8"/>
          <w:rFonts w:hint="default" w:eastAsia="方正仿宋_GB2312" w:cstheme="minorBidi"/>
          <w:b w:val="0"/>
          <w:bCs/>
          <w:sz w:val="32"/>
          <w:szCs w:val="32"/>
          <w:lang w:val="en-US" w:eastAsia="zh-CN"/>
        </w:rPr>
        <w:t>52份，这些品种兼具高萌发潜力与高发芽活力，为莴苣集约化育苗的品种选择与后续育种工作提供了宝贵的材料基础和理论依据。</w:t>
      </w:r>
    </w:p>
    <w:p w14:paraId="7FE8A554">
      <w:pPr>
        <w:numPr>
          <w:ilvl w:val="0"/>
          <w:numId w:val="1"/>
        </w:numPr>
        <w:spacing w:before="156" w:beforeLines="50" w:after="156" w:afterLines="50"/>
        <w:outlineLvl w:val="2"/>
        <w:rPr>
          <w:rStyle w:val="8"/>
          <w:rFonts w:hint="default" w:eastAsia="方正仿宋_GB2312" w:cstheme="minorBidi"/>
          <w:b/>
          <w:sz w:val="32"/>
          <w:szCs w:val="32"/>
          <w:lang w:val="en-US"/>
        </w:rPr>
      </w:pPr>
      <w:r>
        <w:rPr>
          <w:rStyle w:val="8"/>
          <w:rFonts w:hint="default" w:eastAsia="方正仿宋_GB2312" w:cstheme="minorBidi"/>
          <w:b/>
          <w:sz w:val="32"/>
          <w:szCs w:val="32"/>
          <w:lang w:val="en-US"/>
        </w:rPr>
        <w:t>不同温度处理对茎用莴苣</w:t>
      </w:r>
      <w:r>
        <w:rPr>
          <w:rStyle w:val="8"/>
          <w:rFonts w:hint="eastAsia" w:eastAsia="方正仿宋_GB2312" w:cstheme="minorBidi"/>
          <w:b/>
          <w:sz w:val="32"/>
          <w:szCs w:val="32"/>
          <w:lang w:val="en-US" w:eastAsia="zh-CN"/>
        </w:rPr>
        <w:t>幼苗</w:t>
      </w:r>
      <w:r>
        <w:rPr>
          <w:rStyle w:val="8"/>
          <w:rFonts w:hint="default" w:eastAsia="方正仿宋_GB2312" w:cstheme="minorBidi"/>
          <w:b/>
          <w:sz w:val="32"/>
          <w:szCs w:val="32"/>
          <w:lang w:val="en-US"/>
        </w:rPr>
        <w:t>生理生化指标</w:t>
      </w:r>
      <w:r>
        <w:rPr>
          <w:rStyle w:val="8"/>
          <w:rFonts w:hint="eastAsia" w:eastAsia="方正仿宋_GB2312" w:cstheme="minorBidi"/>
          <w:b/>
          <w:sz w:val="32"/>
          <w:szCs w:val="32"/>
          <w:lang w:val="en-US" w:eastAsia="zh-CN"/>
        </w:rPr>
        <w:t>的影响</w:t>
      </w:r>
    </w:p>
    <w:p w14:paraId="5D4F5F89">
      <w:pPr>
        <w:numPr>
          <w:ilvl w:val="1"/>
          <w:numId w:val="1"/>
        </w:numPr>
        <w:spacing w:before="156" w:beforeLines="50" w:after="156" w:afterLines="5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研究目的</w:t>
      </w:r>
    </w:p>
    <w:p w14:paraId="1CAFD2D5">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本研究旨在探究不同温度组合对茎用莴苣幼苗生长动态和生理生化的影响，阐明温度调控与幼苗健壮度的内在联系，为建立高原环境下茎用莴苣集约化育苗的精准温度管理策略提供理论依据与实践参数。</w:t>
      </w:r>
    </w:p>
    <w:p w14:paraId="1CD8D2A1">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材料与方法</w:t>
      </w:r>
    </w:p>
    <w:p w14:paraId="740F8C30">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试验材料</w:t>
      </w:r>
    </w:p>
    <w:p w14:paraId="33759895">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试验材料来源于青海大学农林科学院园艺</w:t>
      </w:r>
      <w:r>
        <w:rPr>
          <w:rStyle w:val="8"/>
          <w:rFonts w:hint="eastAsia" w:eastAsia="方正仿宋_GB2312" w:cstheme="minorBidi"/>
          <w:b w:val="0"/>
          <w:bCs/>
          <w:sz w:val="32"/>
          <w:szCs w:val="32"/>
          <w:lang w:val="en-US" w:eastAsia="zh-CN"/>
        </w:rPr>
        <w:t>研究所</w:t>
      </w:r>
      <w:r>
        <w:rPr>
          <w:rStyle w:val="8"/>
          <w:rFonts w:hint="default" w:eastAsia="方正仿宋_GB2312" w:cstheme="minorBidi"/>
          <w:b w:val="0"/>
          <w:bCs/>
          <w:sz w:val="32"/>
          <w:szCs w:val="32"/>
          <w:lang w:val="en-US" w:eastAsia="zh-CN"/>
        </w:rPr>
        <w:t>，选用课题组收集的两个茎用莴苣品种：WS1（晚熟品种）：晚抽薹、绿色尖叶、白皮白肉和WS3（早熟品种）：早抽薹，紫色尖叶、绿皮绿肉。</w:t>
      </w:r>
    </w:p>
    <w:p w14:paraId="465E3C6A">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试验设计</w:t>
      </w:r>
    </w:p>
    <w:p w14:paraId="6FB7D1EA">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将种子播种于72孔穴盘内培育出苗，6d开始出苗，25d长至4</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5片真叶。此时将幼苗放置于培养箱中进行不同温度和不同时长的处理，相对湿度60%/55%（d/n），光照强度12000 lx。除温度和处理时长外，其他培养条件保持一致。具体试验处理如表</w:t>
      </w:r>
      <w:r>
        <w:rPr>
          <w:rStyle w:val="8"/>
          <w:rFonts w:hint="eastAsia" w:eastAsia="方正仿宋_GB2312" w:cstheme="minorBidi"/>
          <w:b w:val="0"/>
          <w:bCs/>
          <w:sz w:val="32"/>
          <w:szCs w:val="32"/>
          <w:lang w:val="en-US" w:eastAsia="zh-CN"/>
        </w:rPr>
        <w:t>6</w:t>
      </w:r>
      <w:r>
        <w:rPr>
          <w:rStyle w:val="8"/>
          <w:rFonts w:hint="default" w:eastAsia="方正仿宋_GB2312" w:cstheme="minorBidi"/>
          <w:b w:val="0"/>
          <w:bCs/>
          <w:sz w:val="32"/>
          <w:szCs w:val="32"/>
          <w:lang w:val="en-US" w:eastAsia="zh-CN"/>
        </w:rPr>
        <w:t>，分别于处理后2d、6d、10d取样，每个处理设置3个生物学重复。进行植物学性状、生理生化相关指标测定。</w:t>
      </w:r>
    </w:p>
    <w:p w14:paraId="697D93EA">
      <w:pPr>
        <w:numPr>
          <w:ilvl w:val="0"/>
          <w:numId w:val="0"/>
        </w:numPr>
        <w:spacing w:before="156" w:beforeLines="50" w:after="156" w:afterLines="50"/>
        <w:ind w:firstLine="420" w:firstLineChars="200"/>
        <w:jc w:val="center"/>
        <w:outlineLvl w:val="2"/>
        <w:rPr>
          <w:rStyle w:val="8"/>
          <w:rFonts w:hint="default"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表6 不同温度和处理时长情况表</w:t>
      </w:r>
    </w:p>
    <w:tbl>
      <w:tblPr>
        <w:tblStyle w:val="3"/>
        <w:tblW w:w="0" w:type="auto"/>
        <w:tblInd w:w="10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2"/>
        <w:gridCol w:w="2126"/>
        <w:gridCol w:w="4048"/>
      </w:tblGrid>
      <w:tr w14:paraId="7042E5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op w:val="single" w:color="auto" w:sz="12" w:space="0"/>
              <w:bottom w:val="single" w:color="auto" w:sz="6" w:space="0"/>
            </w:tcBorders>
            <w:vAlign w:val="center"/>
          </w:tcPr>
          <w:p w14:paraId="04F0CB65">
            <w:pPr>
              <w:spacing w:line="440" w:lineRule="exact"/>
              <w:jc w:val="center"/>
              <w:rPr>
                <w:rFonts w:ascii="Times New Roman" w:hAnsi="Times New Roman" w:cs="Times New Roman"/>
                <w:sz w:val="21"/>
                <w:szCs w:val="21"/>
              </w:rPr>
            </w:pPr>
            <w:r>
              <w:rPr>
                <w:rFonts w:ascii="Times New Roman" w:hAnsi="Times New Roman" w:cs="Times New Roman"/>
                <w:sz w:val="21"/>
                <w:szCs w:val="21"/>
              </w:rPr>
              <w:t>处理</w:t>
            </w:r>
          </w:p>
        </w:tc>
        <w:tc>
          <w:tcPr>
            <w:tcW w:w="2126" w:type="dxa"/>
            <w:tcBorders>
              <w:top w:val="single" w:color="auto" w:sz="12" w:space="0"/>
              <w:bottom w:val="single" w:color="auto" w:sz="6" w:space="0"/>
            </w:tcBorders>
            <w:vAlign w:val="center"/>
          </w:tcPr>
          <w:p w14:paraId="1835DEF8">
            <w:pPr>
              <w:spacing w:line="440" w:lineRule="exact"/>
              <w:jc w:val="center"/>
              <w:rPr>
                <w:rFonts w:ascii="Times New Roman" w:hAnsi="Times New Roman" w:cs="Times New Roman"/>
                <w:sz w:val="21"/>
                <w:szCs w:val="21"/>
              </w:rPr>
            </w:pPr>
            <w:r>
              <w:rPr>
                <w:rFonts w:ascii="Times New Roman" w:hAnsi="Times New Roman" w:cs="Times New Roman"/>
                <w:sz w:val="21"/>
                <w:szCs w:val="21"/>
              </w:rPr>
              <w:t>时间</w:t>
            </w:r>
          </w:p>
        </w:tc>
        <w:tc>
          <w:tcPr>
            <w:tcW w:w="4048" w:type="dxa"/>
            <w:tcBorders>
              <w:top w:val="single" w:color="auto" w:sz="12" w:space="0"/>
              <w:bottom w:val="single" w:color="auto" w:sz="6" w:space="0"/>
            </w:tcBorders>
            <w:vAlign w:val="center"/>
          </w:tcPr>
          <w:p w14:paraId="19EBE1DC">
            <w:pPr>
              <w:spacing w:line="440" w:lineRule="exact"/>
              <w:jc w:val="center"/>
              <w:rPr>
                <w:rFonts w:ascii="Times New Roman" w:hAnsi="Times New Roman" w:cs="Times New Roman"/>
                <w:sz w:val="21"/>
                <w:szCs w:val="21"/>
              </w:rPr>
            </w:pPr>
            <w:r>
              <w:rPr>
                <w:rFonts w:ascii="Times New Roman" w:hAnsi="Times New Roman" w:cs="Times New Roman"/>
                <w:sz w:val="21"/>
                <w:szCs w:val="21"/>
              </w:rPr>
              <w:t>温度（d/n=14h/10h）</w:t>
            </w:r>
          </w:p>
        </w:tc>
      </w:tr>
      <w:tr w14:paraId="0D66BB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op w:val="single" w:color="auto" w:sz="6" w:space="0"/>
            </w:tcBorders>
            <w:vAlign w:val="center"/>
          </w:tcPr>
          <w:p w14:paraId="16759A40">
            <w:pPr>
              <w:spacing w:line="440" w:lineRule="exact"/>
              <w:jc w:val="center"/>
              <w:rPr>
                <w:rFonts w:ascii="Times New Roman" w:hAnsi="Times New Roman" w:cs="Times New Roman"/>
                <w:sz w:val="21"/>
                <w:szCs w:val="21"/>
              </w:rPr>
            </w:pPr>
            <w:r>
              <w:rPr>
                <w:rFonts w:ascii="Times New Roman" w:hAnsi="Times New Roman" w:cs="Times New Roman"/>
                <w:sz w:val="21"/>
                <w:szCs w:val="21"/>
              </w:rPr>
              <w:t>CK-1</w:t>
            </w:r>
          </w:p>
        </w:tc>
        <w:tc>
          <w:tcPr>
            <w:tcW w:w="2126" w:type="dxa"/>
            <w:vMerge w:val="restart"/>
            <w:tcBorders>
              <w:top w:val="single" w:color="auto" w:sz="6" w:space="0"/>
            </w:tcBorders>
            <w:vAlign w:val="center"/>
          </w:tcPr>
          <w:p w14:paraId="3708A6B4">
            <w:pPr>
              <w:spacing w:line="440" w:lineRule="exact"/>
              <w:jc w:val="center"/>
              <w:rPr>
                <w:rFonts w:ascii="Times New Roman" w:hAnsi="Times New Roman" w:cs="Times New Roman"/>
                <w:sz w:val="21"/>
                <w:szCs w:val="21"/>
              </w:rPr>
            </w:pPr>
            <w:r>
              <w:rPr>
                <w:rFonts w:ascii="Times New Roman" w:hAnsi="Times New Roman" w:cs="Times New Roman"/>
                <w:sz w:val="21"/>
                <w:szCs w:val="21"/>
              </w:rPr>
              <w:t>2d</w:t>
            </w:r>
          </w:p>
        </w:tc>
        <w:tc>
          <w:tcPr>
            <w:tcW w:w="4048" w:type="dxa"/>
            <w:tcBorders>
              <w:top w:val="single" w:color="auto" w:sz="6" w:space="0"/>
            </w:tcBorders>
            <w:vAlign w:val="center"/>
          </w:tcPr>
          <w:p w14:paraId="7238F7B5">
            <w:pPr>
              <w:spacing w:line="440" w:lineRule="exact"/>
              <w:jc w:val="center"/>
              <w:rPr>
                <w:rFonts w:ascii="Times New Roman" w:hAnsi="Times New Roman" w:cs="Times New Roman"/>
                <w:sz w:val="21"/>
                <w:szCs w:val="21"/>
              </w:rPr>
            </w:pPr>
            <w:r>
              <w:rPr>
                <w:rFonts w:ascii="Times New Roman" w:hAnsi="Times New Roman" w:cs="Times New Roman"/>
                <w:sz w:val="21"/>
                <w:szCs w:val="21"/>
              </w:rPr>
              <w:t>25℃/18℃</w:t>
            </w:r>
          </w:p>
        </w:tc>
      </w:tr>
      <w:tr w14:paraId="09F891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6C0D6978">
            <w:pPr>
              <w:spacing w:line="440" w:lineRule="exact"/>
              <w:jc w:val="center"/>
              <w:rPr>
                <w:rFonts w:ascii="Times New Roman" w:hAnsi="Times New Roman" w:cs="Times New Roman"/>
                <w:sz w:val="21"/>
                <w:szCs w:val="21"/>
              </w:rPr>
            </w:pPr>
            <w:r>
              <w:rPr>
                <w:rFonts w:ascii="Times New Roman" w:hAnsi="Times New Roman" w:cs="Times New Roman"/>
                <w:sz w:val="21"/>
                <w:szCs w:val="21"/>
              </w:rPr>
              <w:t>L-1</w:t>
            </w:r>
          </w:p>
        </w:tc>
        <w:tc>
          <w:tcPr>
            <w:tcW w:w="2126" w:type="dxa"/>
            <w:vMerge w:val="continue"/>
            <w:vAlign w:val="center"/>
          </w:tcPr>
          <w:p w14:paraId="25E29A0C">
            <w:pPr>
              <w:spacing w:line="440" w:lineRule="exact"/>
              <w:jc w:val="center"/>
              <w:rPr>
                <w:rFonts w:ascii="Times New Roman" w:hAnsi="Times New Roman" w:cs="Times New Roman"/>
                <w:sz w:val="21"/>
                <w:szCs w:val="21"/>
              </w:rPr>
            </w:pPr>
          </w:p>
        </w:tc>
        <w:tc>
          <w:tcPr>
            <w:tcW w:w="4048" w:type="dxa"/>
            <w:vAlign w:val="center"/>
          </w:tcPr>
          <w:p w14:paraId="413335B6">
            <w:pPr>
              <w:spacing w:line="440" w:lineRule="exact"/>
              <w:jc w:val="center"/>
              <w:rPr>
                <w:rFonts w:ascii="Times New Roman" w:hAnsi="Times New Roman" w:cs="Times New Roman"/>
                <w:sz w:val="21"/>
                <w:szCs w:val="21"/>
              </w:rPr>
            </w:pPr>
            <w:r>
              <w:rPr>
                <w:rFonts w:ascii="Times New Roman" w:hAnsi="Times New Roman" w:cs="Times New Roman"/>
                <w:sz w:val="21"/>
                <w:szCs w:val="21"/>
              </w:rPr>
              <w:t>18℃/4℃</w:t>
            </w:r>
          </w:p>
        </w:tc>
      </w:tr>
      <w:tr w14:paraId="776FE7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6E4DDD22">
            <w:pPr>
              <w:spacing w:line="440" w:lineRule="exact"/>
              <w:jc w:val="center"/>
              <w:rPr>
                <w:rFonts w:ascii="Times New Roman" w:hAnsi="Times New Roman" w:cs="Times New Roman"/>
                <w:sz w:val="21"/>
                <w:szCs w:val="21"/>
              </w:rPr>
            </w:pPr>
            <w:r>
              <w:rPr>
                <w:rFonts w:ascii="Times New Roman" w:hAnsi="Times New Roman" w:cs="Times New Roman"/>
                <w:sz w:val="21"/>
                <w:szCs w:val="21"/>
              </w:rPr>
              <w:t>H-1</w:t>
            </w:r>
          </w:p>
        </w:tc>
        <w:tc>
          <w:tcPr>
            <w:tcW w:w="2126" w:type="dxa"/>
            <w:vMerge w:val="continue"/>
            <w:vAlign w:val="center"/>
          </w:tcPr>
          <w:p w14:paraId="4647CC55">
            <w:pPr>
              <w:spacing w:line="440" w:lineRule="exact"/>
              <w:jc w:val="center"/>
              <w:rPr>
                <w:rFonts w:ascii="Times New Roman" w:hAnsi="Times New Roman" w:cs="Times New Roman"/>
                <w:sz w:val="21"/>
                <w:szCs w:val="21"/>
              </w:rPr>
            </w:pPr>
          </w:p>
        </w:tc>
        <w:tc>
          <w:tcPr>
            <w:tcW w:w="4048" w:type="dxa"/>
            <w:vAlign w:val="center"/>
          </w:tcPr>
          <w:p w14:paraId="60C10217">
            <w:pPr>
              <w:spacing w:line="440" w:lineRule="exact"/>
              <w:jc w:val="center"/>
              <w:rPr>
                <w:rFonts w:ascii="Times New Roman" w:hAnsi="Times New Roman" w:cs="Times New Roman"/>
                <w:sz w:val="21"/>
                <w:szCs w:val="21"/>
              </w:rPr>
            </w:pPr>
            <w:r>
              <w:rPr>
                <w:rFonts w:ascii="Times New Roman" w:hAnsi="Times New Roman" w:cs="Times New Roman"/>
                <w:sz w:val="21"/>
                <w:szCs w:val="21"/>
              </w:rPr>
              <w:t>35℃/18℃</w:t>
            </w:r>
          </w:p>
        </w:tc>
      </w:tr>
      <w:tr w14:paraId="2F334A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0765719C">
            <w:pPr>
              <w:spacing w:line="440" w:lineRule="exact"/>
              <w:jc w:val="center"/>
              <w:rPr>
                <w:rFonts w:ascii="Times New Roman" w:hAnsi="Times New Roman" w:cs="Times New Roman"/>
                <w:sz w:val="21"/>
                <w:szCs w:val="21"/>
              </w:rPr>
            </w:pPr>
            <w:r>
              <w:rPr>
                <w:rFonts w:ascii="Times New Roman" w:hAnsi="Times New Roman" w:cs="Times New Roman"/>
                <w:sz w:val="21"/>
                <w:szCs w:val="21"/>
              </w:rPr>
              <w:t>CK-2</w:t>
            </w:r>
          </w:p>
        </w:tc>
        <w:tc>
          <w:tcPr>
            <w:tcW w:w="2126" w:type="dxa"/>
            <w:vMerge w:val="restart"/>
            <w:vAlign w:val="center"/>
          </w:tcPr>
          <w:p w14:paraId="040B5E46">
            <w:pPr>
              <w:spacing w:line="440" w:lineRule="exact"/>
              <w:jc w:val="center"/>
              <w:rPr>
                <w:rFonts w:ascii="Times New Roman" w:hAnsi="Times New Roman" w:cs="Times New Roman"/>
                <w:sz w:val="21"/>
                <w:szCs w:val="21"/>
              </w:rPr>
            </w:pPr>
            <w:r>
              <w:rPr>
                <w:rFonts w:ascii="Times New Roman" w:hAnsi="Times New Roman" w:cs="Times New Roman"/>
                <w:sz w:val="21"/>
                <w:szCs w:val="21"/>
              </w:rPr>
              <w:t>6d</w:t>
            </w:r>
          </w:p>
        </w:tc>
        <w:tc>
          <w:tcPr>
            <w:tcW w:w="4048" w:type="dxa"/>
            <w:vAlign w:val="center"/>
          </w:tcPr>
          <w:p w14:paraId="3D874E84">
            <w:pPr>
              <w:spacing w:line="440" w:lineRule="exact"/>
              <w:jc w:val="center"/>
              <w:rPr>
                <w:rFonts w:ascii="Times New Roman" w:hAnsi="Times New Roman" w:cs="Times New Roman"/>
                <w:sz w:val="21"/>
                <w:szCs w:val="21"/>
              </w:rPr>
            </w:pPr>
            <w:r>
              <w:rPr>
                <w:rFonts w:ascii="Times New Roman" w:hAnsi="Times New Roman" w:cs="Times New Roman"/>
                <w:sz w:val="21"/>
                <w:szCs w:val="21"/>
              </w:rPr>
              <w:t>25℃/18℃</w:t>
            </w:r>
          </w:p>
        </w:tc>
      </w:tr>
      <w:tr w14:paraId="40483B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621F3FBD">
            <w:pPr>
              <w:spacing w:line="440" w:lineRule="exact"/>
              <w:jc w:val="center"/>
              <w:rPr>
                <w:rFonts w:ascii="Times New Roman" w:hAnsi="Times New Roman" w:cs="Times New Roman"/>
                <w:sz w:val="21"/>
                <w:szCs w:val="21"/>
              </w:rPr>
            </w:pPr>
            <w:r>
              <w:rPr>
                <w:rFonts w:ascii="Times New Roman" w:hAnsi="Times New Roman" w:cs="Times New Roman"/>
                <w:sz w:val="21"/>
                <w:szCs w:val="21"/>
              </w:rPr>
              <w:t>L-2</w:t>
            </w:r>
          </w:p>
        </w:tc>
        <w:tc>
          <w:tcPr>
            <w:tcW w:w="2126" w:type="dxa"/>
            <w:vMerge w:val="continue"/>
            <w:vAlign w:val="center"/>
          </w:tcPr>
          <w:p w14:paraId="08277B8D">
            <w:pPr>
              <w:spacing w:line="440" w:lineRule="exact"/>
              <w:jc w:val="center"/>
              <w:rPr>
                <w:rFonts w:ascii="Times New Roman" w:hAnsi="Times New Roman" w:cs="Times New Roman"/>
                <w:sz w:val="21"/>
                <w:szCs w:val="21"/>
              </w:rPr>
            </w:pPr>
          </w:p>
        </w:tc>
        <w:tc>
          <w:tcPr>
            <w:tcW w:w="4048" w:type="dxa"/>
            <w:vAlign w:val="center"/>
          </w:tcPr>
          <w:p w14:paraId="7C4429F2">
            <w:pPr>
              <w:spacing w:line="440" w:lineRule="exact"/>
              <w:jc w:val="center"/>
              <w:rPr>
                <w:rFonts w:ascii="Times New Roman" w:hAnsi="Times New Roman" w:cs="Times New Roman"/>
                <w:sz w:val="21"/>
                <w:szCs w:val="21"/>
              </w:rPr>
            </w:pPr>
            <w:r>
              <w:rPr>
                <w:rFonts w:ascii="Times New Roman" w:hAnsi="Times New Roman" w:cs="Times New Roman"/>
                <w:sz w:val="21"/>
                <w:szCs w:val="21"/>
              </w:rPr>
              <w:t>18℃/4℃</w:t>
            </w:r>
          </w:p>
        </w:tc>
      </w:tr>
      <w:tr w14:paraId="582046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6B09FF90">
            <w:pPr>
              <w:spacing w:line="440" w:lineRule="exact"/>
              <w:jc w:val="center"/>
              <w:rPr>
                <w:rFonts w:ascii="Times New Roman" w:hAnsi="Times New Roman" w:cs="Times New Roman"/>
                <w:sz w:val="21"/>
                <w:szCs w:val="21"/>
              </w:rPr>
            </w:pPr>
            <w:r>
              <w:rPr>
                <w:rFonts w:ascii="Times New Roman" w:hAnsi="Times New Roman" w:cs="Times New Roman"/>
                <w:sz w:val="21"/>
                <w:szCs w:val="21"/>
              </w:rPr>
              <w:t>H-2</w:t>
            </w:r>
          </w:p>
        </w:tc>
        <w:tc>
          <w:tcPr>
            <w:tcW w:w="2126" w:type="dxa"/>
            <w:vMerge w:val="continue"/>
            <w:vAlign w:val="center"/>
          </w:tcPr>
          <w:p w14:paraId="5DC21A89">
            <w:pPr>
              <w:spacing w:line="440" w:lineRule="exact"/>
              <w:jc w:val="center"/>
              <w:rPr>
                <w:rFonts w:ascii="Times New Roman" w:hAnsi="Times New Roman" w:cs="Times New Roman"/>
                <w:sz w:val="21"/>
                <w:szCs w:val="21"/>
              </w:rPr>
            </w:pPr>
          </w:p>
        </w:tc>
        <w:tc>
          <w:tcPr>
            <w:tcW w:w="4048" w:type="dxa"/>
            <w:vAlign w:val="center"/>
          </w:tcPr>
          <w:p w14:paraId="253FA121">
            <w:pPr>
              <w:spacing w:line="440" w:lineRule="exact"/>
              <w:jc w:val="center"/>
              <w:rPr>
                <w:rFonts w:ascii="Times New Roman" w:hAnsi="Times New Roman" w:cs="Times New Roman"/>
                <w:sz w:val="21"/>
                <w:szCs w:val="21"/>
              </w:rPr>
            </w:pPr>
            <w:r>
              <w:rPr>
                <w:rFonts w:ascii="Times New Roman" w:hAnsi="Times New Roman" w:cs="Times New Roman"/>
                <w:sz w:val="21"/>
                <w:szCs w:val="21"/>
              </w:rPr>
              <w:t>35℃/18℃</w:t>
            </w:r>
          </w:p>
        </w:tc>
      </w:tr>
      <w:tr w14:paraId="15661A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5D09FA29">
            <w:pPr>
              <w:spacing w:line="440" w:lineRule="exact"/>
              <w:jc w:val="center"/>
              <w:rPr>
                <w:rFonts w:ascii="Times New Roman" w:hAnsi="Times New Roman" w:cs="Times New Roman"/>
                <w:sz w:val="21"/>
                <w:szCs w:val="21"/>
              </w:rPr>
            </w:pPr>
            <w:r>
              <w:rPr>
                <w:rFonts w:ascii="Times New Roman" w:hAnsi="Times New Roman" w:cs="Times New Roman"/>
                <w:sz w:val="21"/>
                <w:szCs w:val="21"/>
              </w:rPr>
              <w:t>CK-3</w:t>
            </w:r>
          </w:p>
        </w:tc>
        <w:tc>
          <w:tcPr>
            <w:tcW w:w="2126" w:type="dxa"/>
            <w:vMerge w:val="restart"/>
            <w:vAlign w:val="center"/>
          </w:tcPr>
          <w:p w14:paraId="7CD742DD">
            <w:pPr>
              <w:spacing w:line="440" w:lineRule="exact"/>
              <w:jc w:val="center"/>
              <w:rPr>
                <w:rFonts w:ascii="Times New Roman" w:hAnsi="Times New Roman" w:cs="Times New Roman"/>
                <w:sz w:val="21"/>
                <w:szCs w:val="21"/>
              </w:rPr>
            </w:pPr>
            <w:r>
              <w:rPr>
                <w:rFonts w:ascii="Times New Roman" w:hAnsi="Times New Roman" w:cs="Times New Roman"/>
                <w:sz w:val="21"/>
                <w:szCs w:val="21"/>
              </w:rPr>
              <w:t>10d</w:t>
            </w:r>
          </w:p>
        </w:tc>
        <w:tc>
          <w:tcPr>
            <w:tcW w:w="4048" w:type="dxa"/>
            <w:vAlign w:val="center"/>
          </w:tcPr>
          <w:p w14:paraId="4D1B3ACE">
            <w:pPr>
              <w:spacing w:line="440" w:lineRule="exact"/>
              <w:jc w:val="center"/>
              <w:rPr>
                <w:rFonts w:ascii="Times New Roman" w:hAnsi="Times New Roman" w:cs="Times New Roman"/>
                <w:sz w:val="21"/>
                <w:szCs w:val="21"/>
              </w:rPr>
            </w:pPr>
            <w:r>
              <w:rPr>
                <w:rFonts w:ascii="Times New Roman" w:hAnsi="Times New Roman" w:cs="Times New Roman"/>
                <w:sz w:val="21"/>
                <w:szCs w:val="21"/>
              </w:rPr>
              <w:t>25℃/18℃</w:t>
            </w:r>
          </w:p>
        </w:tc>
      </w:tr>
      <w:tr w14:paraId="556AE8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vAlign w:val="center"/>
          </w:tcPr>
          <w:p w14:paraId="774CCEC5">
            <w:pPr>
              <w:spacing w:line="440" w:lineRule="exact"/>
              <w:jc w:val="center"/>
              <w:rPr>
                <w:rFonts w:ascii="Times New Roman" w:hAnsi="Times New Roman" w:cs="Times New Roman"/>
                <w:sz w:val="21"/>
                <w:szCs w:val="21"/>
              </w:rPr>
            </w:pPr>
            <w:r>
              <w:rPr>
                <w:rFonts w:ascii="Times New Roman" w:hAnsi="Times New Roman" w:cs="Times New Roman"/>
                <w:sz w:val="21"/>
                <w:szCs w:val="21"/>
              </w:rPr>
              <w:t>L-3</w:t>
            </w:r>
          </w:p>
        </w:tc>
        <w:tc>
          <w:tcPr>
            <w:tcW w:w="2126" w:type="dxa"/>
            <w:vMerge w:val="continue"/>
            <w:vAlign w:val="center"/>
          </w:tcPr>
          <w:p w14:paraId="6D2A3DED">
            <w:pPr>
              <w:spacing w:line="440" w:lineRule="exact"/>
              <w:jc w:val="center"/>
              <w:rPr>
                <w:rFonts w:ascii="Times New Roman" w:hAnsi="Times New Roman" w:cs="Times New Roman"/>
                <w:sz w:val="21"/>
                <w:szCs w:val="21"/>
              </w:rPr>
            </w:pPr>
          </w:p>
        </w:tc>
        <w:tc>
          <w:tcPr>
            <w:tcW w:w="4048" w:type="dxa"/>
            <w:vAlign w:val="center"/>
          </w:tcPr>
          <w:p w14:paraId="5439D2BF">
            <w:pPr>
              <w:spacing w:line="440" w:lineRule="exact"/>
              <w:jc w:val="center"/>
              <w:rPr>
                <w:rFonts w:ascii="Times New Roman" w:hAnsi="Times New Roman" w:cs="Times New Roman"/>
                <w:sz w:val="21"/>
                <w:szCs w:val="21"/>
              </w:rPr>
            </w:pPr>
            <w:r>
              <w:rPr>
                <w:rFonts w:ascii="Times New Roman" w:hAnsi="Times New Roman" w:cs="Times New Roman"/>
                <w:sz w:val="21"/>
                <w:szCs w:val="21"/>
              </w:rPr>
              <w:t>18℃/4℃</w:t>
            </w:r>
          </w:p>
        </w:tc>
      </w:tr>
      <w:tr w14:paraId="2BC0F2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bottom w:val="single" w:color="auto" w:sz="12" w:space="0"/>
            </w:tcBorders>
            <w:vAlign w:val="center"/>
          </w:tcPr>
          <w:p w14:paraId="6C23C4C4">
            <w:pPr>
              <w:spacing w:line="440" w:lineRule="exact"/>
              <w:jc w:val="center"/>
              <w:rPr>
                <w:rFonts w:ascii="Times New Roman" w:hAnsi="Times New Roman" w:cs="Times New Roman"/>
                <w:sz w:val="21"/>
                <w:szCs w:val="21"/>
              </w:rPr>
            </w:pPr>
            <w:r>
              <w:rPr>
                <w:rFonts w:ascii="Times New Roman" w:hAnsi="Times New Roman" w:cs="Times New Roman"/>
                <w:sz w:val="21"/>
                <w:szCs w:val="21"/>
              </w:rPr>
              <w:t>H-3</w:t>
            </w:r>
          </w:p>
        </w:tc>
        <w:tc>
          <w:tcPr>
            <w:tcW w:w="2126" w:type="dxa"/>
            <w:vMerge w:val="continue"/>
            <w:tcBorders>
              <w:bottom w:val="single" w:color="auto" w:sz="12" w:space="0"/>
            </w:tcBorders>
            <w:vAlign w:val="center"/>
          </w:tcPr>
          <w:p w14:paraId="2A2AC594">
            <w:pPr>
              <w:spacing w:line="440" w:lineRule="exact"/>
              <w:jc w:val="center"/>
              <w:rPr>
                <w:rFonts w:ascii="Times New Roman" w:hAnsi="Times New Roman" w:cs="Times New Roman"/>
                <w:sz w:val="21"/>
                <w:szCs w:val="21"/>
              </w:rPr>
            </w:pPr>
          </w:p>
        </w:tc>
        <w:tc>
          <w:tcPr>
            <w:tcW w:w="4048" w:type="dxa"/>
            <w:tcBorders>
              <w:bottom w:val="single" w:color="auto" w:sz="12" w:space="0"/>
            </w:tcBorders>
            <w:vAlign w:val="center"/>
          </w:tcPr>
          <w:p w14:paraId="4843E8FE">
            <w:pPr>
              <w:spacing w:line="440" w:lineRule="exact"/>
              <w:jc w:val="center"/>
              <w:rPr>
                <w:rFonts w:ascii="Times New Roman" w:hAnsi="Times New Roman" w:cs="Times New Roman"/>
                <w:sz w:val="21"/>
                <w:szCs w:val="21"/>
              </w:rPr>
            </w:pPr>
            <w:r>
              <w:rPr>
                <w:rFonts w:ascii="Times New Roman" w:hAnsi="Times New Roman" w:cs="Times New Roman"/>
                <w:sz w:val="21"/>
                <w:szCs w:val="21"/>
              </w:rPr>
              <w:t>35℃/18℃</w:t>
            </w:r>
          </w:p>
        </w:tc>
      </w:tr>
    </w:tbl>
    <w:p w14:paraId="6B21467A">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测定指标</w:t>
      </w:r>
    </w:p>
    <w:p w14:paraId="6B44626E">
      <w:pPr>
        <w:spacing w:line="240" w:lineRule="auto"/>
        <w:ind w:firstLine="640" w:firstLineChars="200"/>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生长指标：叶长、叶宽、株高、根长使用卷尺测量，刻度为0.1 cm；叶柄宽、叶柄厚使用游标卡尺测量，刻度为0.01 mm。干物质量：取不同部位鲜样（FW）20g，置于烘箱105℃杀青10min后，于60℃烘干至恒重，称量干重（DW）。</w:t>
      </w:r>
    </w:p>
    <w:p w14:paraId="4B02ACA3">
      <w:pPr>
        <w:spacing w:line="240" w:lineRule="auto"/>
        <w:ind w:firstLine="640" w:firstLineChars="200"/>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（2）生理生化指标</w:t>
      </w:r>
    </w:p>
    <w:p w14:paraId="2796EC54">
      <w:pPr>
        <w:spacing w:line="240" w:lineRule="auto"/>
        <w:ind w:firstLine="640" w:firstLineChars="200"/>
        <w:rPr>
          <w:rStyle w:val="8"/>
          <w:rFonts w:hint="eastAsia"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取植株完全展开的新鲜成熟叶片</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所有指标3次重复。采用考马斯亮蓝法测定</w:t>
      </w:r>
      <w:r>
        <w:rPr>
          <w:rStyle w:val="8"/>
          <w:rFonts w:hint="eastAsia" w:eastAsia="方正仿宋_GB2312" w:cstheme="minorBidi"/>
          <w:b w:val="0"/>
          <w:bCs/>
          <w:sz w:val="32"/>
          <w:szCs w:val="32"/>
          <w:lang w:val="en-US" w:eastAsia="zh-CN"/>
        </w:rPr>
        <w:t>可溶性</w:t>
      </w:r>
      <w:r>
        <w:rPr>
          <w:rStyle w:val="8"/>
          <w:rFonts w:hint="default" w:eastAsia="方正仿宋_GB2312" w:cstheme="minorBidi"/>
          <w:b w:val="0"/>
          <w:bCs/>
          <w:sz w:val="32"/>
          <w:szCs w:val="32"/>
          <w:lang w:val="en-US" w:eastAsia="zh-CN"/>
        </w:rPr>
        <w:t>蛋白质含量</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采用南京建成生物工程研究所购买的过氧化氢酶</w:t>
      </w:r>
      <w:r>
        <w:rPr>
          <w:rStyle w:val="8"/>
          <w:rFonts w:hint="eastAsia" w:eastAsia="方正仿宋_GB2312" w:cstheme="minorBidi"/>
          <w:b w:val="0"/>
          <w:bCs/>
          <w:sz w:val="32"/>
          <w:szCs w:val="32"/>
          <w:lang w:val="en-US" w:eastAsia="zh-CN"/>
        </w:rPr>
        <w:t>(CAT)</w:t>
      </w:r>
      <w:r>
        <w:rPr>
          <w:rStyle w:val="8"/>
          <w:rFonts w:hint="default" w:eastAsia="方正仿宋_GB2312" w:cstheme="minorBidi"/>
          <w:b w:val="0"/>
          <w:bCs/>
          <w:sz w:val="32"/>
          <w:szCs w:val="32"/>
          <w:lang w:val="en-US" w:eastAsia="zh-CN"/>
        </w:rPr>
        <w:t>活性检测试剂盒、过氧化物酶(POD)活性检测试剂盒、超氧化物歧化酶(SOD)活性检测试剂盒、丙二醛(MDA)检测试剂盒测定不同</w:t>
      </w:r>
      <w:r>
        <w:rPr>
          <w:rStyle w:val="8"/>
          <w:rFonts w:hint="eastAsia" w:eastAsia="方正仿宋_GB2312" w:cstheme="minorBidi"/>
          <w:b w:val="0"/>
          <w:bCs/>
          <w:sz w:val="32"/>
          <w:szCs w:val="32"/>
          <w:lang w:val="en-US" w:eastAsia="zh-CN"/>
        </w:rPr>
        <w:t>处理</w:t>
      </w:r>
      <w:r>
        <w:rPr>
          <w:rStyle w:val="8"/>
          <w:rFonts w:hint="default" w:eastAsia="方正仿宋_GB2312" w:cstheme="minorBidi"/>
          <w:b w:val="0"/>
          <w:bCs/>
          <w:sz w:val="32"/>
          <w:szCs w:val="32"/>
          <w:lang w:val="en-US" w:eastAsia="zh-CN"/>
        </w:rPr>
        <w:t>叶片的CAT活性、POD活性、SOD活性以及MDA含量</w:t>
      </w:r>
      <w:r>
        <w:rPr>
          <w:rStyle w:val="8"/>
          <w:rFonts w:hint="eastAsia" w:eastAsia="方正仿宋_GB2312" w:cstheme="minorBidi"/>
          <w:b w:val="0"/>
          <w:bCs/>
          <w:sz w:val="32"/>
          <w:szCs w:val="32"/>
          <w:lang w:val="en-US" w:eastAsia="zh-CN"/>
        </w:rPr>
        <w:t>。</w:t>
      </w:r>
    </w:p>
    <w:p w14:paraId="7F2E3351">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数据分析</w:t>
      </w:r>
    </w:p>
    <w:p w14:paraId="584E8299">
      <w:pPr>
        <w:spacing w:line="240" w:lineRule="auto"/>
        <w:ind w:firstLine="640" w:firstLineChars="200"/>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采用Excel 2019进行数据统计与处理，使用Graphpad Prism8.0软件进行数据分析与作图。</w:t>
      </w:r>
    </w:p>
    <w:p w14:paraId="2CCA8462">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结果与分析</w:t>
      </w:r>
    </w:p>
    <w:p w14:paraId="78B3E0A6">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不同温度对茎用莴苣表型性状的影响</w:t>
      </w:r>
    </w:p>
    <w:p w14:paraId="3D1203FA">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由图9可知，不同温度处理对茎用莴苣表型性状的影响存在差异。在高温条件下，WS1在处理6天和10天时的株高与叶长均显著低于对照</w:t>
      </w:r>
      <w:r>
        <w:rPr>
          <w:rStyle w:val="8"/>
          <w:rFonts w:hint="eastAsia" w:eastAsia="方正仿宋_GB2312" w:cstheme="minorBidi"/>
          <w:b w:val="0"/>
          <w:bCs/>
          <w:sz w:val="32"/>
          <w:szCs w:val="32"/>
          <w:lang w:val="en-US" w:eastAsia="zh-CN"/>
        </w:rPr>
        <w:t>（</w:t>
      </w:r>
      <w:r>
        <w:rPr>
          <w:rStyle w:val="8"/>
          <w:rFonts w:hint="eastAsia" w:eastAsia="方正仿宋_GB2312" w:cstheme="minorBidi"/>
          <w:b w:val="0"/>
          <w:bCs/>
          <w:i/>
          <w:iCs/>
          <w:sz w:val="32"/>
          <w:szCs w:val="32"/>
          <w:lang w:val="en-US" w:eastAsia="zh-CN"/>
        </w:rPr>
        <w:t xml:space="preserve">P </w:t>
      </w:r>
      <w:r>
        <w:rPr>
          <w:rStyle w:val="8"/>
          <w:rFonts w:hint="eastAsia" w:eastAsia="方正仿宋_GB2312" w:cstheme="minorBidi"/>
          <w:b w:val="0"/>
          <w:bCs/>
          <w:sz w:val="32"/>
          <w:szCs w:val="32"/>
          <w:lang w:val="en-US" w:eastAsia="zh-CN"/>
        </w:rPr>
        <w:t>&lt; 0.05）</w:t>
      </w:r>
      <w:r>
        <w:rPr>
          <w:rStyle w:val="8"/>
          <w:rFonts w:hint="default" w:eastAsia="方正仿宋_GB2312" w:cstheme="minorBidi"/>
          <w:b w:val="0"/>
          <w:bCs/>
          <w:sz w:val="32"/>
          <w:szCs w:val="32"/>
          <w:lang w:val="en-US" w:eastAsia="zh-CN"/>
        </w:rPr>
        <w:t>；WS3在处理2天和10天时的叶长，以及处理2天时的叶柄厚度和叶鲜重，也均与对照存在显著差异。在低温条件下，WS1在处理6天和10天时的株高与叶长均与对照呈现极显著差异；WS3在处理2天时的叶长也显著不同于对照。其余各处理与对照之间均无显著差异。</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80" w:type="dxa"/>
          <w:left w:w="128" w:type="dxa"/>
          <w:bottom w:w="80" w:type="dxa"/>
          <w:right w:w="128" w:type="dxa"/>
        </w:tblCellMar>
      </w:tblPr>
      <w:tblGrid>
        <w:gridCol w:w="2854"/>
        <w:gridCol w:w="2854"/>
        <w:gridCol w:w="2854"/>
      </w:tblGrid>
      <w:tr w14:paraId="11A5B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0" w:type="dxa"/>
            <w:left w:w="128" w:type="dxa"/>
            <w:bottom w:w="80" w:type="dxa"/>
            <w:right w:w="128" w:type="dxa"/>
          </w:tblCellMar>
        </w:tblPrEx>
        <w:trPr>
          <w:trHeight w:val="3082" w:hRule="atLeast"/>
          <w:jc w:val="center"/>
        </w:trPr>
        <w:tc>
          <w:tcPr>
            <w:tcW w:w="1666" w:type="pct"/>
          </w:tcPr>
          <w:p w14:paraId="4F0137F9">
            <w:pPr>
              <w:snapToGrid w:val="0"/>
              <w:spacing w:line="440" w:lineRule="exact"/>
              <w:rPr>
                <w:rFonts w:ascii="Times New Roman" w:hAnsi="Times New Roman" w:cs="Times New Roman"/>
                <w:sz w:val="22"/>
                <w:szCs w:val="22"/>
              </w:rPr>
            </w:pPr>
            <w:r>
              <w:rPr>
                <w:sz w:val="24"/>
              </w:rPr>
              <mc:AlternateContent>
                <mc:Choice Requires="wps">
                  <w:drawing>
                    <wp:anchor distT="0" distB="0" distL="114300" distR="114300" simplePos="0" relativeHeight="251670528" behindDoc="0" locked="0" layoutInCell="1" allowOverlap="1">
                      <wp:simplePos x="0" y="0"/>
                      <wp:positionH relativeFrom="column">
                        <wp:posOffset>-90805</wp:posOffset>
                      </wp:positionH>
                      <wp:positionV relativeFrom="paragraph">
                        <wp:posOffset>2024380</wp:posOffset>
                      </wp:positionV>
                      <wp:extent cx="367665" cy="2540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751A3">
                                  <w:r>
                                    <w:rPr>
                                      <w:rFonts w:hint="eastAsia"/>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5pt;margin-top:159.4pt;height:20pt;width:28.95pt;z-index:251670528;mso-width-relative:page;mso-height-relative:page;" filled="f" stroked="f" coordsize="21600,21600" o:gfxdata="UEsDBAoAAAAAAIdO4kAAAAAAAAAAAAAAAAAEAAAAZHJzL1BLAwQUAAAACACHTuJAyB/nhNoAAAAK&#10;AQAADwAAAGRycy9kb3ducmV2LnhtbE2Py07DMBBF90j8gzVI7FonTVtFIU6FIlVICBYt3bBz4mkS&#10;YY9D7D7g6xlWsJw7R/dRbq7OijNOYfCkIJ0nIJBabwbqFBzetrMcRIiajLaeUMEXBthUtzelLoy/&#10;0A7P+9gJNqFQaAV9jGMhZWh7dDrM/YjEv6OfnI58Tp00k76wubNykSRr6fRAnNDrEese24/9ySl4&#10;rrevetcsXP5t66eX4+P4eXhfKXV/lyYPICJe4x8Mv/W5OlTcqfEnMkFYBbN0mTGqIEtz3sDEMluD&#10;aFhYsSCrUv6fUP0AUEsDBBQAAAAIAIdO4kBi1Dc4PQIAAGcEAAAOAAAAZHJzL2Uyb0RvYy54bWyt&#10;VMGO0zAQvSPxD5bvNGm3zULVdFW2KkJasSsVxNl1nCaS7TG226R8APwBJy7c+a5+B2Mn7VYLhz1w&#10;ccYz45l5b2Yyu2mVJHthXQ06p8NBSonQHIpab3P66ePq1WtKnGe6YBK0yOlBOHozf/li1pipGEEF&#10;shCWYBDtpo3JaeW9mSaJ45VQzA3ACI3GEqxiHq92mxSWNRhdyWSUplnSgC2MBS6cQ+2yM9I+on1O&#10;QCjLmosl8J0S2ndRrZDMIyRX1cbReay2LAX392XphCcyp4jUxxOToLwJZzKfsenWMlPVvC+BPaeE&#10;J5gUqzUmPYdaMs/IztZ/hVI1t+Cg9AMOKumAREYQxTB9ws26YkZELEi1M2fS3f8Lyz/sHyypi5yO&#10;Mko0U9jx44/vx5+/j7++EdQhQY1xU/RbG/T07VtocWxOeofKgLstrQpfRETQjvQezvSK1hOOyqvs&#10;OssmlHA0jSbjNI30J4+PjXX+nQBFgpBTi92LpLL9nfNYCLqeXEIuDataythBqUmT0+xqksYHZwu+&#10;kBofBghdqUHy7abtcW2gOCAsC91kOMNXNSa/Y84/MIujgEhwWfw9HqUETAK9REkF9uu/9MEfO4RW&#10;ShocrZy6LztmBSXyvcbevRmOx2EW42U8uR7hxV5aNpcWvVO3gNM7xLU0PIrB38uTWFpQn3GnFiEr&#10;mpjmmDun/iTe+m7gcSe5WCyiE06fYf5Orw0PoTs6FzsPZR2ZDjR13PTs4fzFBvS7Egb88h69Hv8P&#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IH+eE2gAAAAoBAAAPAAAAAAAAAAEAIAAAACIAAABk&#10;cnMvZG93bnJldi54bWxQSwECFAAUAAAACACHTuJAYtQ3OD0CAABnBAAADgAAAAAAAAABACAAAAAp&#10;AQAAZHJzL2Uyb0RvYy54bWxQSwUGAAAAAAYABgBZAQAA2AUAAAAA&#10;">
                      <v:fill on="f" focussize="0,0"/>
                      <v:stroke on="f" weight="0.5pt"/>
                      <v:imagedata o:title=""/>
                      <o:lock v:ext="edit" aspectratio="f"/>
                      <v:textbox>
                        <w:txbxContent>
                          <w:p w14:paraId="2B2751A3">
                            <w:r>
                              <w:rPr>
                                <w:rFonts w:hint="eastAsia"/>
                              </w:rPr>
                              <w:t>D</w:t>
                            </w:r>
                          </w:p>
                        </w:txbxContent>
                      </v:textbox>
                    </v:shap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1724025</wp:posOffset>
                      </wp:positionH>
                      <wp:positionV relativeFrom="paragraph">
                        <wp:posOffset>-38735</wp:posOffset>
                      </wp:positionV>
                      <wp:extent cx="367665" cy="254000"/>
                      <wp:effectExtent l="0" t="0" r="0" b="0"/>
                      <wp:wrapNone/>
                      <wp:docPr id="23" name="文本框 23"/>
                      <wp:cNvGraphicFramePr/>
                      <a:graphic xmlns:a="http://schemas.openxmlformats.org/drawingml/2006/main">
                        <a:graphicData uri="http://schemas.microsoft.com/office/word/2010/wordprocessingShape">
                          <wps:wsp>
                            <wps:cNvSpPr txBox="1"/>
                            <wps:spPr>
                              <a:xfrm>
                                <a:off x="1148715" y="2591435"/>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8BC32">
                                  <w:r>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75pt;margin-top:-3.05pt;height:20pt;width:28.95pt;z-index:251667456;mso-width-relative:page;mso-height-relative:page;" filled="f" stroked="f" coordsize="21600,21600" o:gfxdata="UEsDBAoAAAAAAIdO4kAAAAAAAAAAAAAAAAAEAAAAZHJzL1BLAwQUAAAACACHTuJA7XnXv9sAAAAJ&#10;AQAADwAAAGRycy9kb3ducmV2LnhtbE2PTU/DMAyG70j8h8hI3La0HRtbaTqhShMSgsPGLtzcxmsr&#10;Eqc02Qf8esIJbrb86PXzFuuLNeJEo+8dK0inCQjixumeWwX7t81kCcIHZI3GMSn4Ig/r8vqqwFy7&#10;M2/ptAutiCHsc1TQhTDkUvqmI4t+6gbieDu40WKI69hKPeI5hlsjsyRZSIs9xw8dDlR11HzsjlbB&#10;c7V5xW2d2eW3qZ5eDo/D5/59rtTtTZo8gAh0CX8w/OpHdSijU+2OrL0wCrL7dB5RBZNFCiICs2x1&#10;B6KOw2wFsizk/wblD1BLAwQUAAAACACHTuJAmlL6AUYCAABzBAAADgAAAGRycy9lMm9Eb2MueG1s&#10;rVTNjtMwEL4j8Q6W7zTp/1I1XZWtipAqdqWCOLuO00SyPcZ2m5QHgDfYExfuPFefg7HTdquFwx64&#10;pGPP+Bt/33zu9LZRkuyFdRXojHY7KSVCc8grvc3o50/LNzeUOM90ziRokdGDcPR29vrVtDYT0YMS&#10;ZC4sQRDtJrXJaOm9mSSJ46VQzHXACI3JAqxiHpd2m+SW1YiuZNJL01FSg82NBS6cw91Fm6QnRPsS&#10;QCiKiosF8J0S2reoVkjmkZIrK+PoLN62KAT390XhhCcyo8jUxy82wXgTvslsyiZby0xZ8dMV2Euu&#10;8IyTYpXGpheoBfOM7Gz1F5SquAUHhe9wUElLJCqCLLrpM23WJTMickGpnbmI7v4fLP+4f7CkyjPa&#10;61OimcKJHx9/HH/+Pv76TnAPBaqNm2Dd2mClb95Bg7Y57zvcDLybwqrwi4xIyHcHN+PukJIDAg/f&#10;dgf9YSu1aDzhWNAfjUcjzPNYMEjTOIrkCchY598LUCQEGbU4ySgw26+cx0th6bkk9NWwrKSM05Sa&#10;1Bkd9YdpPHDJ4Amp8WCg0147RL7ZNCeOG8gPSNFC6xJn+LLC5ivm/AOzaAs0DT4cf4+fQgI2gVNE&#10;SQn227/2Qz1OC7OU1GizjLqvO2YFJfKDxjmiNIPgy7gYDMc9XNjrzOY6o3fqDtDJXXyihscw1Ht5&#10;DgsL6gu+r3noiimmOfbOqD+Hd741P75PLubzWIRONMyv9NrwAN3KOd95KKqodJCp1eakHnoxDuD0&#10;boLZr9ex6um/YvY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7XnXv9sAAAAJAQAADwAAAAAAAAAB&#10;ACAAAAAiAAAAZHJzL2Rvd25yZXYueG1sUEsBAhQAFAAAAAgAh07iQJpS+gFGAgAAcwQAAA4AAAAA&#10;AAAAAQAgAAAAKgEAAGRycy9lMm9Eb2MueG1sUEsFBgAAAAAGAAYAWQEAAOIFAAAAAA==&#10;">
                      <v:fill on="f" focussize="0,0"/>
                      <v:stroke on="f" weight="0.5pt"/>
                      <v:imagedata o:title=""/>
                      <o:lock v:ext="edit" aspectratio="f"/>
                      <v:textbox>
                        <w:txbxContent>
                          <w:p w14:paraId="09A8BC32">
                            <w:r>
                              <w:rPr>
                                <w:rFonts w:hint="eastAsia"/>
                              </w:rPr>
                              <w:t>B</w:t>
                            </w:r>
                          </w:p>
                        </w:txbxContent>
                      </v:textbox>
                    </v:shap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-77470</wp:posOffset>
                      </wp:positionH>
                      <wp:positionV relativeFrom="paragraph">
                        <wp:posOffset>-31115</wp:posOffset>
                      </wp:positionV>
                      <wp:extent cx="367665" cy="2540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3D262">
                                  <w:r>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pt;margin-top:-2.45pt;height:20pt;width:28.95pt;z-index:251668480;mso-width-relative:page;mso-height-relative:page;" filled="f" stroked="f" coordsize="21600,21600" o:gfxdata="UEsDBAoAAAAAAIdO4kAAAAAAAAAAAAAAAAAEAAAAZHJzL1BLAwQUAAAACACHTuJA8ySkD9oAAAAI&#10;AQAADwAAAGRycy9kb3ducmV2LnhtbE2PTU/DMAyG70j8h8hI3La0ZYVRmk6o0oSE4LCxCze3ydqK&#10;xClN9gG/HnOCmy0/ev285ersrDiaKQyeFKTzBISh1uuBOgW7t/VsCSJEJI3Wk1HwZQKsqsuLEgvt&#10;T7Qxx23sBIdQKFBBH+NYSBna3jgMcz8a4tveTw4jr1Mn9YQnDndWZklyKx0OxB96HE3dm/Zje3AK&#10;nuv1K26azC2/bf30sn8cP3fvuVLXV2nyACKac/yD4Vef1aFip8YfSAdhFczSLGOUh8U9CAYW+R2I&#10;RsFNnoKsSvm/QPUDUEsDBBQAAAAIAIdO4kCXLMAyPQIAAGcEAAAOAAAAZHJzL2Uyb0RvYy54bWyt&#10;VMGOEzEMvSPxD1HudKbdtgtVp6uyVRHSil2pIM5pJtOJlMQhSTtTPgD+gBMX7nxXvwMn03arhcMe&#10;uGQc27H9nu2Z3rRakZ1wXoIpaL+XUyIMh1KaTUE/fVy+ek2JD8yUTIERBd0LT29mL19MGzsRA6hB&#10;lcIRDGL8pLEFrUOwkyzzvBaa+R5YYdBYgdMs4NVtstKxBqNrlQ3yfJw14ErrgAvvUbvojPQY0T0n&#10;IFSV5GIBfKuFCV1UJxQLCMnX0no6S9VWleDhvqq8CEQVFJGGdGISlNfxzGZTNtk4ZmvJjyWw55Tw&#10;BJNm0mDSc6gFC4xsnfwrlJbcgYcq9DjorAOSGEEU/fwJN6uaWZGwINXenkn3/y8s/7B7cESWBR0M&#10;KTFMY8cPP74ffv4+/PpGUIcENdZP0G9l0TO0b6HFsTnpPSoj7rZyOn4REUE70rs/0yvaQDgqr8bX&#10;4/GIEo6mwWiY54n+7PGxdT68E6BJFArqsHuJVLa78wELQdeTS8xlYCmVSh1UhjQFHV+N8vTgbMEX&#10;yuDDCKErNUqhXbdHXGso9wjLQTcZ3vKlxOR3zIcH5nAUEAkuS7jHo1KASeAoUVKD+/ovffTHDqGV&#10;kgZHq6D+y5Y5QYl6b7B3b/rDYZzFdBmOrgd4cZeW9aXFbPUt4PT2cS0tT2L0D+okVg70Z9ypecyK&#10;JmY45i5oOIm3oRt43Eku5vPkhNNnWbgzK8tj6I7O+TZAJRPTkaaOmyN7OH+pAcddiQN+eU9ej/+H&#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zJKQP2gAAAAgBAAAPAAAAAAAAAAEAIAAAACIAAABk&#10;cnMvZG93bnJldi54bWxQSwECFAAUAAAACACHTuJAlyzAMj0CAABnBAAADgAAAAAAAAABACAAAAAp&#10;AQAAZHJzL2Uyb0RvYy54bWxQSwUGAAAAAAYABgBZAQAA2AUAAAAA&#10;">
                      <v:fill on="f" focussize="0,0"/>
                      <v:stroke on="f" weight="0.5pt"/>
                      <v:imagedata o:title=""/>
                      <o:lock v:ext="edit" aspectratio="f"/>
                      <v:textbox>
                        <w:txbxContent>
                          <w:p w14:paraId="33E3D262">
                            <w:r>
                              <w:rPr>
                                <w:rFonts w:hint="eastAsia"/>
                              </w:rPr>
                              <w:t>A</w:t>
                            </w:r>
                          </w:p>
                        </w:txbxContent>
                      </v:textbox>
                    </v:shape>
                  </w:pict>
                </mc:Fallback>
              </mc:AlternateContent>
            </w:r>
            <w:r>
              <w:rPr>
                <w:rFonts w:ascii="Times New Roman" w:hAnsi="Times New Roman" w:cs="Times New Roman"/>
                <w:sz w:val="24"/>
              </w:rPr>
              <w:drawing>
                <wp:anchor distT="0" distB="0" distL="114300" distR="114300" simplePos="0" relativeHeight="251659264" behindDoc="0" locked="0" layoutInCell="1" allowOverlap="1">
                  <wp:simplePos x="0" y="0"/>
                  <wp:positionH relativeFrom="column">
                    <wp:posOffset>-83185</wp:posOffset>
                  </wp:positionH>
                  <wp:positionV relativeFrom="paragraph">
                    <wp:posOffset>492125</wp:posOffset>
                  </wp:positionV>
                  <wp:extent cx="3572510" cy="1424940"/>
                  <wp:effectExtent l="0" t="0" r="8890" b="10160"/>
                  <wp:wrapSquare wrapText="bothSides"/>
                  <wp:docPr id="18" name="图片 18" descr="株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株高"/>
                          <pic:cNvPicPr>
                            <a:picLocks noChangeAspect="1"/>
                          </pic:cNvPicPr>
                        </pic:nvPicPr>
                        <pic:blipFill>
                          <a:blip r:embed="rId21"/>
                          <a:stretch>
                            <a:fillRect/>
                          </a:stretch>
                        </pic:blipFill>
                        <pic:spPr>
                          <a:xfrm>
                            <a:off x="0" y="0"/>
                            <a:ext cx="3572510" cy="1424940"/>
                          </a:xfrm>
                          <a:prstGeom prst="rect">
                            <a:avLst/>
                          </a:prstGeom>
                        </pic:spPr>
                      </pic:pic>
                    </a:graphicData>
                  </a:graphic>
                </wp:anchor>
              </w:drawing>
            </w:r>
          </w:p>
        </w:tc>
        <w:tc>
          <w:tcPr>
            <w:tcW w:w="1666" w:type="pct"/>
          </w:tcPr>
          <w:p w14:paraId="07010112">
            <w:pPr>
              <w:snapToGrid w:val="0"/>
              <w:spacing w:line="440" w:lineRule="exact"/>
              <w:rPr>
                <w:rFonts w:ascii="Times New Roman" w:hAnsi="Times New Roman" w:cs="Times New Roman"/>
                <w:sz w:val="22"/>
                <w:szCs w:val="22"/>
              </w:rPr>
            </w:pPr>
            <w:r>
              <w:rPr>
                <w:rFonts w:ascii="Times New Roman" w:hAnsi="Times New Roman" w:cs="Times New Roman"/>
                <w:sz w:val="24"/>
              </w:rPr>
              <w:drawing>
                <wp:anchor distT="0" distB="0" distL="114300" distR="114300" simplePos="0" relativeHeight="251660288" behindDoc="0" locked="0" layoutInCell="1" allowOverlap="1">
                  <wp:simplePos x="0" y="0"/>
                  <wp:positionH relativeFrom="column">
                    <wp:posOffset>-68580</wp:posOffset>
                  </wp:positionH>
                  <wp:positionV relativeFrom="paragraph">
                    <wp:posOffset>495300</wp:posOffset>
                  </wp:positionV>
                  <wp:extent cx="1807845" cy="1412875"/>
                  <wp:effectExtent l="0" t="0" r="8255" b="9525"/>
                  <wp:wrapSquare wrapText="bothSides"/>
                  <wp:docPr id="19" name="图片 19" descr="根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根长"/>
                          <pic:cNvPicPr>
                            <a:picLocks noChangeAspect="1"/>
                          </pic:cNvPicPr>
                        </pic:nvPicPr>
                        <pic:blipFill>
                          <a:blip r:embed="rId22"/>
                          <a:srcRect b="3596"/>
                          <a:stretch>
                            <a:fillRect/>
                          </a:stretch>
                        </pic:blipFill>
                        <pic:spPr>
                          <a:xfrm>
                            <a:off x="0" y="0"/>
                            <a:ext cx="1807845" cy="1412875"/>
                          </a:xfrm>
                          <a:prstGeom prst="rect">
                            <a:avLst/>
                          </a:prstGeom>
                        </pic:spPr>
                      </pic:pic>
                    </a:graphicData>
                  </a:graphic>
                </wp:anchor>
              </w:drawing>
            </w:r>
          </w:p>
        </w:tc>
        <w:tc>
          <w:tcPr>
            <w:tcW w:w="1666" w:type="pct"/>
          </w:tcPr>
          <w:p w14:paraId="3994E0F9">
            <w:pPr>
              <w:snapToGrid w:val="0"/>
              <w:spacing w:line="440" w:lineRule="exact"/>
              <w:rPr>
                <w:rFonts w:ascii="Times New Roman" w:hAnsi="Times New Roman" w:cs="Times New Roman"/>
                <w:sz w:val="22"/>
                <w:szCs w:val="22"/>
              </w:rPr>
            </w:pPr>
            <w:r>
              <w:rPr>
                <w:sz w:val="24"/>
              </w:rPr>
              <mc:AlternateContent>
                <mc:Choice Requires="wps">
                  <w:drawing>
                    <wp:anchor distT="0" distB="0" distL="114300" distR="114300" simplePos="0" relativeHeight="251669504" behindDoc="0" locked="0" layoutInCell="1" allowOverlap="1">
                      <wp:simplePos x="0" y="0"/>
                      <wp:positionH relativeFrom="column">
                        <wp:posOffset>-61595</wp:posOffset>
                      </wp:positionH>
                      <wp:positionV relativeFrom="paragraph">
                        <wp:posOffset>-37465</wp:posOffset>
                      </wp:positionV>
                      <wp:extent cx="367665" cy="2540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3D4CA">
                                  <w:r>
                                    <w:rPr>
                                      <w:rFonts w:hint="eastAsia"/>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5pt;margin-top:-2.95pt;height:20pt;width:28.95pt;z-index:251669504;mso-width-relative:page;mso-height-relative:page;" filled="f" stroked="f" coordsize="21600,21600" o:gfxdata="UEsDBAoAAAAAAIdO4kAAAAAAAAAAAAAAAAAEAAAAZHJzL1BLAwQUAAAACACHTuJACSKes9kAAAAH&#10;AQAADwAAAGRycy9kb3ducmV2LnhtbE2OzU7DMBCE70i8g7VI3FonoYU0jVOhSBUSooeWXnrbxNsk&#10;IrZD7P7A07Oc4DQazWjmy1dX04szjb5zVkE8jUCQrZ3ubKNg/76epCB8QKuxd5YUfJGHVXF7k2Om&#10;3cVu6bwLjeAR6zNU0IYwZFL6uiWDfuoGspwd3WgwsB0bqUe88LjpZRJFj9JgZ/mhxYHKluqP3cko&#10;eC3XG9xWiUm/+/Ll7fg8fO4Pc6Xu7+JoCSLQNfyV4Ref0aFgpsqdrPaiVzBZPHGTdb4AwfksTUBU&#10;Ch5mMcgil//5ix9QSwMEFAAAAAgAh07iQM1TA9o9AgAAZwQAAA4AAABkcnMvZTJvRG9jLnhtbK1U&#10;zW4TMRC+I/EOlu9kN2mSQpRNFRoFIVW0UkGcHa83u5L/sJ3ulgeAN+DEhTvP1efgszdJo8KhBy7e&#10;8cx4Zr5vZnZ+0SlJ7oTzjdEFHQ5ySoTmpmz0tqCfPq5fvabEB6ZLJo0WBb0Xnl4sXr6Yt3YmRqY2&#10;shSOIIj2s9YWtA7BzrLM81oo5gfGCg1jZZxiAVe3zUrHWkRXMhvl+TRrjSutM1x4D+2qN9J9RPec&#10;gKaqGi5Whu+U0KGP6oRkAZB83VhPF6naqhI8XFeVF4HIggJpSCeSQN7EM1vM2WzrmK0bvi+BPaeE&#10;J5gUazSSHkOtWGBk55q/QqmGO+NNFQbcqKwHkhgBimH+hJvbmlmRsIBqb4+k+/8Xln+4u3GkKQs6&#10;mlCimULHH358f/j5++HXNwIdCGqtn8Hv1sIzdG9Nh7E56D2UEXdXORW/QERgB733R3pFFwiH8mx6&#10;Pp0iC4dpNBnneaI/e3xsnQ/vhFEkCgV16F4ild1d+YBC4Hpwibm0WTdSpg5KTdqCTs8meXpwtOCF&#10;1HgYIfSlRil0m26Pa2PKe8Bypp8Mb/m6QfIr5sMNcxgFIMGyhGsclTRIYvYSJbVxX/+lj/7oEKyU&#10;tBitgvovO+YEJfK9Ru/eDMfjOIvpMp6cj3Bxp5bNqUXv1KXB9A6xlpYnMfoHeRArZ9Rn7NQyZoWJ&#10;aY7cBQ0H8TL0A4+d5GK5TE6YPsvClb61PIbu6VzugqmaxHSkqedmzx7mLzVgvytxwE/vyevx/7D4&#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kinrPZAAAABwEAAA8AAAAAAAAAAQAgAAAAIgAAAGRy&#10;cy9kb3ducmV2LnhtbFBLAQIUABQAAAAIAIdO4kDNUwPaPQIAAGcEAAAOAAAAAAAAAAEAIAAAACgB&#10;AABkcnMvZTJvRG9jLnhtbFBLBQYAAAAABgAGAFkBAADXBQAAAAA=&#10;">
                      <v:fill on="f" focussize="0,0"/>
                      <v:stroke on="f" weight="0.5pt"/>
                      <v:imagedata o:title=""/>
                      <o:lock v:ext="edit" aspectratio="f"/>
                      <v:textbox>
                        <w:txbxContent>
                          <w:p w14:paraId="7443D4CA">
                            <w:r>
                              <w:rPr>
                                <w:rFonts w:hint="eastAsia"/>
                              </w:rPr>
                              <w:t>C</w:t>
                            </w:r>
                          </w:p>
                        </w:txbxContent>
                      </v:textbox>
                    </v:shape>
                  </w:pict>
                </mc:Fallback>
              </mc:AlternateContent>
            </w:r>
            <w:r>
              <w:rPr>
                <w:rFonts w:ascii="Times New Roman" w:hAnsi="Times New Roman" w:cs="Times New Roman"/>
                <w:sz w:val="24"/>
              </w:rPr>
              <w:drawing>
                <wp:anchor distT="0" distB="0" distL="114300" distR="114300" simplePos="0" relativeHeight="251661312" behindDoc="0" locked="0" layoutInCell="1" allowOverlap="1">
                  <wp:simplePos x="0" y="0"/>
                  <wp:positionH relativeFrom="column">
                    <wp:posOffset>-17145</wp:posOffset>
                  </wp:positionH>
                  <wp:positionV relativeFrom="paragraph">
                    <wp:posOffset>447040</wp:posOffset>
                  </wp:positionV>
                  <wp:extent cx="1741170" cy="1418590"/>
                  <wp:effectExtent l="0" t="0" r="11430" b="3810"/>
                  <wp:wrapSquare wrapText="bothSides"/>
                  <wp:docPr id="20" name="图片 20" descr="叶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叶长"/>
                          <pic:cNvPicPr>
                            <a:picLocks noChangeAspect="1"/>
                          </pic:cNvPicPr>
                        </pic:nvPicPr>
                        <pic:blipFill>
                          <a:blip r:embed="rId23"/>
                          <a:srcRect b="2954"/>
                          <a:stretch>
                            <a:fillRect/>
                          </a:stretch>
                        </pic:blipFill>
                        <pic:spPr>
                          <a:xfrm>
                            <a:off x="0" y="0"/>
                            <a:ext cx="1741170" cy="1418590"/>
                          </a:xfrm>
                          <a:prstGeom prst="rect">
                            <a:avLst/>
                          </a:prstGeom>
                        </pic:spPr>
                      </pic:pic>
                    </a:graphicData>
                  </a:graphic>
                </wp:anchor>
              </w:drawing>
            </w:r>
          </w:p>
        </w:tc>
      </w:tr>
      <w:tr w14:paraId="560D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0" w:type="dxa"/>
            <w:left w:w="128" w:type="dxa"/>
            <w:bottom w:w="80" w:type="dxa"/>
            <w:right w:w="128" w:type="dxa"/>
          </w:tblCellMar>
        </w:tblPrEx>
        <w:trPr>
          <w:jc w:val="center"/>
        </w:trPr>
        <w:tc>
          <w:tcPr>
            <w:tcW w:w="1666" w:type="pct"/>
          </w:tcPr>
          <w:p w14:paraId="35B30D85">
            <w:pPr>
              <w:snapToGrid w:val="0"/>
              <w:spacing w:line="440" w:lineRule="exact"/>
              <w:rPr>
                <w:rFonts w:ascii="Times New Roman" w:hAnsi="Times New Roman" w:cs="Times New Roman"/>
                <w:sz w:val="22"/>
                <w:szCs w:val="22"/>
              </w:rPr>
            </w:pPr>
            <w:r>
              <w:rPr>
                <w:sz w:val="24"/>
              </w:rPr>
              <mc:AlternateContent>
                <mc:Choice Requires="wps">
                  <w:drawing>
                    <wp:anchor distT="0" distB="0" distL="114300" distR="114300" simplePos="0" relativeHeight="251671552" behindDoc="0" locked="0" layoutInCell="1" allowOverlap="1">
                      <wp:simplePos x="0" y="0"/>
                      <wp:positionH relativeFrom="column">
                        <wp:posOffset>1717040</wp:posOffset>
                      </wp:positionH>
                      <wp:positionV relativeFrom="paragraph">
                        <wp:posOffset>-39370</wp:posOffset>
                      </wp:positionV>
                      <wp:extent cx="367665" cy="2540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5DA57">
                                  <w:r>
                                    <w:rPr>
                                      <w:rFonts w:hint="eastAsia"/>
                                    </w:rPr>
                                    <w: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2pt;margin-top:-3.1pt;height:20pt;width:28.95pt;z-index:251671552;mso-width-relative:page;mso-height-relative:page;" filled="f" stroked="f" coordsize="21600,21600" o:gfxdata="UEsDBAoAAAAAAIdO4kAAAAAAAAAAAAAAAAAEAAAAZHJzL1BLAwQUAAAACACHTuJA/ikLVtoAAAAJ&#10;AQAADwAAAGRycy9kb3ducmV2LnhtbE2Py07DMBBF90j8gzVI7Fq7DpQoxKlQpAoJwaKlG3aT2E0i&#10;/Aix+4CvZ1iV3Yzm6M655ersLDuaKQ7BK1jMBTDj26AH3ynYva9nObCY0Gu0wRsF3ybCqrq+KrHQ&#10;4eQ35rhNHaMQHwtU0Kc0FpzHtjcO4zyMxtNtHyaHidap43rCE4U7y6UQS+5w8PShx9HUvWk/twen&#10;4KVev+GmkS7/sfXz6/5p/Np93Ct1e7MQj8CSOacLDH/6pA4VOTXh4HVkVoF8EHeEKpgtJTACMpln&#10;wBoashx4VfL/DapfUEsDBBQAAAAIAIdO4kA4q/TQPQIAAGcEAAAOAAAAZHJzL2Uyb0RvYy54bWyt&#10;VM2O0zAQviPxDpbvNGm3P1A1XZWtipAqdqWCOLuO00SyPcZ2m5QHgDfgxIU7z9XnYOyk3WrhsAcu&#10;znhmPDPfNzOZ3TZKkoOwrgKd0X4vpURoDnmldxn99HH16jUlzjOdMwlaZPQoHL2dv3wxq81UDKAE&#10;mQtLMIh209pktPTeTJPE8VIo5npghEZjAVYxj1e7S3LLaoyuZDJI03FSg82NBS6cQ+2yNdIuon1O&#10;QCiKiosl8L0S2rdRrZDMIyRXVsbReay2KAT390XhhCcyo4jUxxOToLwNZzKfsenOMlNWvCuBPaeE&#10;J5gUqzQmvYRaMs/I3lZ/hVIVt+Cg8D0OKmmBREYQRT99ws2mZEZELEi1MxfS3f8Lyz8cHiyp8owO&#10;JpRoprDjpx/fTz9/n359I6hDgmrjpui3Mejpm7fQ4Nic9Q6VAXdTWBW+iIigHek9XugVjScclTfj&#10;yXg8ooSjaTAapmmkP3l8bKzz7wQoEoSMWuxeJJUd1s5jIeh6dgm5NKwqKWMHpSZ1Rsc3ozQ+uFjw&#10;hdT4MEBoSw2Sb7ZNh2sL+RFhWWgnwxm+qjD5mjn/wCyOAiLBZfH3eBQSMAl0EiUl2K//0gd/7BBa&#10;KalxtDLqvuyZFZTI9xp796Y/HIZZjJfhaDLAi722bK8teq/uAKe3j2tpeBSDv5dnsbCgPuNOLUJW&#10;NDHNMXdG/Vm88+3A405ysVhEJ5w+w/xabwwPoVs6F3sPRRWZDjS13HTs4fzFBnS7Egb8+h69Hv8P&#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KQtW2gAAAAkBAAAPAAAAAAAAAAEAIAAAACIAAABk&#10;cnMvZG93bnJldi54bWxQSwECFAAUAAAACACHTuJAOKv00D0CAABnBAAADgAAAAAAAAABACAAAAAp&#10;AQAAZHJzL2Uyb0RvYy54bWxQSwUGAAAAAAYABgBZAQAA2AUAAAAA&#10;">
                      <v:fill on="f" focussize="0,0"/>
                      <v:stroke on="f" weight="0.5pt"/>
                      <v:imagedata o:title=""/>
                      <o:lock v:ext="edit" aspectratio="f"/>
                      <v:textbox>
                        <w:txbxContent>
                          <w:p w14:paraId="03F5DA57">
                            <w:r>
                              <w:rPr>
                                <w:rFonts w:hint="eastAsia"/>
                              </w:rPr>
                              <w:t>E</w:t>
                            </w:r>
                          </w:p>
                        </w:txbxContent>
                      </v:textbox>
                    </v:shape>
                  </w:pict>
                </mc:Fallback>
              </mc:AlternateContent>
            </w:r>
            <w:r>
              <w:rPr>
                <w:rFonts w:ascii="Times New Roman" w:hAnsi="Times New Roman" w:cs="Times New Roman"/>
                <w:sz w:val="24"/>
              </w:rPr>
              <w:drawing>
                <wp:anchor distT="0" distB="0" distL="114300" distR="114300" simplePos="0" relativeHeight="251662336" behindDoc="0" locked="0" layoutInCell="1" allowOverlap="1">
                  <wp:simplePos x="0" y="0"/>
                  <wp:positionH relativeFrom="column">
                    <wp:posOffset>-68580</wp:posOffset>
                  </wp:positionH>
                  <wp:positionV relativeFrom="paragraph">
                    <wp:posOffset>346710</wp:posOffset>
                  </wp:positionV>
                  <wp:extent cx="1821815" cy="1569720"/>
                  <wp:effectExtent l="0" t="0" r="6985" b="5080"/>
                  <wp:wrapSquare wrapText="bothSides"/>
                  <wp:docPr id="21" name="图片 21" descr="叶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叶宽"/>
                          <pic:cNvPicPr>
                            <a:picLocks noChangeAspect="1"/>
                          </pic:cNvPicPr>
                        </pic:nvPicPr>
                        <pic:blipFill>
                          <a:blip r:embed="rId24"/>
                          <a:stretch>
                            <a:fillRect/>
                          </a:stretch>
                        </pic:blipFill>
                        <pic:spPr>
                          <a:xfrm>
                            <a:off x="0" y="0"/>
                            <a:ext cx="1821815" cy="1569720"/>
                          </a:xfrm>
                          <a:prstGeom prst="rect">
                            <a:avLst/>
                          </a:prstGeom>
                        </pic:spPr>
                      </pic:pic>
                    </a:graphicData>
                  </a:graphic>
                </wp:anchor>
              </w:drawing>
            </w:r>
          </w:p>
        </w:tc>
        <w:tc>
          <w:tcPr>
            <w:tcW w:w="1666" w:type="pct"/>
          </w:tcPr>
          <w:p w14:paraId="41327DFA">
            <w:pPr>
              <w:snapToGrid w:val="0"/>
              <w:spacing w:line="440" w:lineRule="exact"/>
              <w:rPr>
                <w:rFonts w:ascii="Times New Roman" w:hAnsi="Times New Roman" w:cs="Times New Roman"/>
                <w:sz w:val="22"/>
                <w:szCs w:val="22"/>
              </w:rPr>
            </w:pPr>
            <w:r>
              <w:rPr>
                <w:sz w:val="24"/>
              </w:rPr>
              <mc:AlternateContent>
                <mc:Choice Requires="wps">
                  <w:drawing>
                    <wp:anchor distT="0" distB="0" distL="114300" distR="114300" simplePos="0" relativeHeight="251672576" behindDoc="0" locked="0" layoutInCell="1" allowOverlap="1">
                      <wp:simplePos x="0" y="0"/>
                      <wp:positionH relativeFrom="column">
                        <wp:posOffset>1721485</wp:posOffset>
                      </wp:positionH>
                      <wp:positionV relativeFrom="paragraph">
                        <wp:posOffset>-36195</wp:posOffset>
                      </wp:positionV>
                      <wp:extent cx="367665" cy="2540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EE421">
                                  <w:r>
                                    <w:rPr>
                                      <w:rFonts w:hint="eastAsia"/>
                                    </w:rPr>
                                    <w:t>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55pt;margin-top:-2.85pt;height:20pt;width:28.95pt;z-index:251672576;mso-width-relative:page;mso-height-relative:page;" filled="f" stroked="f" coordsize="21600,21600" o:gfxdata="UEsDBAoAAAAAAIdO4kAAAAAAAAAAAAAAAAAEAAAAZHJzL1BLAwQUAAAACACHTuJAW4bGedsAAAAJ&#10;AQAADwAAAGRycy9kb3ducmV2LnhtbE2PTU/DMAyG70j8h8hI3La0HWOjNJ1QpQkJscPGLtzSxmsr&#10;Eqc02Qf8eswJbrb86PXzFquLs+KEY+g9KUinCQikxpueWgX7t/VkCSJETUZbT6jgCwOsyuurQufG&#10;n2mLp11sBYdQyLWCLsYhlzI0HTodpn5A4tvBj05HXsdWmlGfOdxZmSXJvXS6J/7Q6QGrDpuP3dEp&#10;eKnWG72tM7f8ttXz6+Fp+Ny/z5W6vUmTRxARL/EPhl99VoeSnWp/JBOEVZAt0pRRBZP5AgQDs+yB&#10;y9U83M1AloX836D8AVBLAwQUAAAACACHTuJAqT7wDD0CAABnBAAADgAAAGRycy9lMm9Eb2MueG1s&#10;rVTNbhMxEL4j8Q6W72Q3aZJClE0VGgUhVbRSQZwdrze7kv+wne6WB4A34MSFO8/V5+CzN0mjwqEH&#10;Lt7xzHhmvm9mdn7RKUnuhPON0QUdDnJKhOambPS2oJ8+rl+9psQHpksmjRYFvReeXixevpi3diZG&#10;pjayFI4giPaz1ha0DsHOsszzWijmB8YKDWNlnGIBV7fNSsdaRFcyG+X5NGuNK60zXHgP7ao30n1E&#10;95yApqoaLlaG75TQoY/qhGQBkHzdWE8XqdqqEjxcV5UXgciCAmlIJ5JA3sQzW8zZbOuYrRu+L4E9&#10;p4QnmBRrNJIeQ61YYGTnmr9CqYY7400VBtyorAeSGAGKYf6Em9uaWZGwgGpvj6T7/xeWf7i7caQp&#10;CzpC3zVT6PjDj+8PP38//PpGoANBrfUz+N1aeIburekwNge9hzLi7iqn4heICOyg9/5Ir+gC4VCe&#10;Tc+n0wklHKbRZJznif7s8bF1PrwTRpEoFNShe4lUdnflAwqB68El5tJm3UiZOig1aQs6PZvk6cHR&#10;ghdS42GE0JcapdBtuj2ujSnvAcuZfjK85esGya+YDzfMYRSABMsSrnFU0iCJ2UuU1MZ9/Zc++qND&#10;sFLSYrQK6r/smBOUyPcavXszHI/jLKbLeHI+wsWdWjanFr1TlwbTO8RaWp7E6B/kQaycUZ+xU8uY&#10;FSamOXIXNBzEy9APPHaSi+UyOWH6LAtX+tbyGLqnc7kLpmoS05Gmnps9e5i/1ID9rsQBP70nr8f/&#10;w+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W4bGedsAAAAJAQAADwAAAAAAAAABACAAAAAiAAAA&#10;ZHJzL2Rvd25yZXYueG1sUEsBAhQAFAAAAAgAh07iQKk+8Aw9AgAAZwQAAA4AAAAAAAAAAQAgAAAA&#10;KgEAAGRycy9lMm9Eb2MueG1sUEsFBgAAAAAGAAYAWQEAANkFAAAAAA==&#10;">
                      <v:fill on="f" focussize="0,0"/>
                      <v:stroke on="f" weight="0.5pt"/>
                      <v:imagedata o:title=""/>
                      <o:lock v:ext="edit" aspectratio="f"/>
                      <v:textbox>
                        <w:txbxContent>
                          <w:p w14:paraId="5E8EE421">
                            <w:r>
                              <w:rPr>
                                <w:rFonts w:hint="eastAsia"/>
                              </w:rPr>
                              <w:t>F</w:t>
                            </w:r>
                          </w:p>
                        </w:txbxContent>
                      </v:textbox>
                    </v:shape>
                  </w:pict>
                </mc:Fallback>
              </mc:AlternateContent>
            </w:r>
            <w:r>
              <w:rPr>
                <w:rFonts w:ascii="Times New Roman" w:hAnsi="Times New Roman" w:cs="Times New Roman"/>
                <w:sz w:val="24"/>
              </w:rPr>
              <w:drawing>
                <wp:anchor distT="0" distB="0" distL="114300" distR="114300" simplePos="0" relativeHeight="251663360" behindDoc="0" locked="0" layoutInCell="1" allowOverlap="1">
                  <wp:simplePos x="0" y="0"/>
                  <wp:positionH relativeFrom="column">
                    <wp:posOffset>-34925</wp:posOffset>
                  </wp:positionH>
                  <wp:positionV relativeFrom="paragraph">
                    <wp:posOffset>634365</wp:posOffset>
                  </wp:positionV>
                  <wp:extent cx="1762125" cy="1280795"/>
                  <wp:effectExtent l="0" t="0" r="3175" b="1905"/>
                  <wp:wrapSquare wrapText="bothSides"/>
                  <wp:docPr id="22" name="图片 22" descr="叶柄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叶柄宽"/>
                          <pic:cNvPicPr>
                            <a:picLocks noChangeAspect="1"/>
                          </pic:cNvPicPr>
                        </pic:nvPicPr>
                        <pic:blipFill>
                          <a:blip r:embed="rId25"/>
                          <a:stretch>
                            <a:fillRect/>
                          </a:stretch>
                        </pic:blipFill>
                        <pic:spPr>
                          <a:xfrm>
                            <a:off x="0" y="0"/>
                            <a:ext cx="1762125" cy="1280795"/>
                          </a:xfrm>
                          <a:prstGeom prst="rect">
                            <a:avLst/>
                          </a:prstGeom>
                        </pic:spPr>
                      </pic:pic>
                    </a:graphicData>
                  </a:graphic>
                </wp:anchor>
              </w:drawing>
            </w:r>
          </w:p>
        </w:tc>
        <w:tc>
          <w:tcPr>
            <w:tcW w:w="1666" w:type="pct"/>
          </w:tcPr>
          <w:p w14:paraId="63D4E2A8">
            <w:pPr>
              <w:snapToGrid w:val="0"/>
              <w:spacing w:line="440" w:lineRule="exact"/>
              <w:rPr>
                <w:rFonts w:ascii="Times New Roman" w:hAnsi="Times New Roman" w:cs="Times New Roman"/>
                <w:sz w:val="22"/>
                <w:szCs w:val="22"/>
              </w:rPr>
            </w:pPr>
            <w:r>
              <w:rPr>
                <w:rFonts w:ascii="Times New Roman" w:hAnsi="Times New Roman" w:cs="Times New Roman"/>
                <w:sz w:val="24"/>
              </w:rPr>
              <w:drawing>
                <wp:anchor distT="0" distB="0" distL="114300" distR="114300" simplePos="0" relativeHeight="251664384" behindDoc="0" locked="0" layoutInCell="1" allowOverlap="1">
                  <wp:simplePos x="0" y="0"/>
                  <wp:positionH relativeFrom="column">
                    <wp:posOffset>-41275</wp:posOffset>
                  </wp:positionH>
                  <wp:positionV relativeFrom="paragraph">
                    <wp:posOffset>591185</wp:posOffset>
                  </wp:positionV>
                  <wp:extent cx="1717675" cy="1325245"/>
                  <wp:effectExtent l="0" t="0" r="9525" b="8255"/>
                  <wp:wrapSquare wrapText="bothSides"/>
                  <wp:docPr id="29" name="图片 29" descr="叶柄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叶柄厚"/>
                          <pic:cNvPicPr>
                            <a:picLocks noChangeAspect="1"/>
                          </pic:cNvPicPr>
                        </pic:nvPicPr>
                        <pic:blipFill>
                          <a:blip r:embed="rId26"/>
                          <a:stretch>
                            <a:fillRect/>
                          </a:stretch>
                        </pic:blipFill>
                        <pic:spPr>
                          <a:xfrm>
                            <a:off x="0" y="0"/>
                            <a:ext cx="1717675" cy="1325245"/>
                          </a:xfrm>
                          <a:prstGeom prst="rect">
                            <a:avLst/>
                          </a:prstGeom>
                        </pic:spPr>
                      </pic:pic>
                    </a:graphicData>
                  </a:graphic>
                </wp:anchor>
              </w:drawing>
            </w:r>
          </w:p>
        </w:tc>
      </w:tr>
      <w:tr w14:paraId="57A2B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0" w:type="dxa"/>
            <w:left w:w="128" w:type="dxa"/>
            <w:bottom w:w="80" w:type="dxa"/>
            <w:right w:w="128" w:type="dxa"/>
          </w:tblCellMar>
        </w:tblPrEx>
        <w:trPr>
          <w:jc w:val="center"/>
        </w:trPr>
        <w:tc>
          <w:tcPr>
            <w:tcW w:w="1666" w:type="pct"/>
          </w:tcPr>
          <w:p w14:paraId="3891833E">
            <w:pPr>
              <w:snapToGrid w:val="0"/>
              <w:spacing w:line="440" w:lineRule="exact"/>
              <w:rPr>
                <w:rFonts w:ascii="Times New Roman" w:hAnsi="Times New Roman" w:cs="Times New Roman"/>
                <w:sz w:val="22"/>
                <w:szCs w:val="22"/>
              </w:rPr>
            </w:pPr>
            <w:r>
              <w:rPr>
                <w:sz w:val="24"/>
              </w:rPr>
              <mc:AlternateContent>
                <mc:Choice Requires="wps">
                  <w:drawing>
                    <wp:anchor distT="0" distB="0" distL="114300" distR="114300" simplePos="0" relativeHeight="251673600" behindDoc="0" locked="0" layoutInCell="1" allowOverlap="1">
                      <wp:simplePos x="0" y="0"/>
                      <wp:positionH relativeFrom="column">
                        <wp:posOffset>-91440</wp:posOffset>
                      </wp:positionH>
                      <wp:positionV relativeFrom="paragraph">
                        <wp:posOffset>31750</wp:posOffset>
                      </wp:positionV>
                      <wp:extent cx="367665" cy="2540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6A128">
                                  <w:r>
                                    <w:rPr>
                                      <w:rFonts w:hint="eastAsia"/>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pt;margin-top:2.5pt;height:20pt;width:28.95pt;z-index:251673600;mso-width-relative:page;mso-height-relative:page;" filled="f" stroked="f" coordsize="21600,21600" o:gfxdata="UEsDBAoAAAAAAIdO4kAAAAAAAAAAAAAAAAAEAAAAZHJzL1BLAwQUAAAACACHTuJASxUXv9gAAAAH&#10;AQAADwAAAGRycy9kb3ducmV2LnhtbE2PzU7DMBCE70h9B2srcWudlARVIU6FIlVICA4tvXDbxG4S&#10;Ya9D7P7A07Oc4LQazWj2m3JzdVaczRQGTwrSZQLCUOv1QJ2Cw9t2sQYRIpJG68ko+DIBNtXspsRC&#10;+wvtzHkfO8ElFApU0Mc4FlKGtjcOw9KPhtg7+slhZDl1Uk944XJn5SpJ7qXDgfhDj6Ope9N+7E9O&#10;wXO9fcVds3Lrb1s/vRwfx8/De67U7TxNHkBEc41/YfjFZ3SomKnxJ9JBWAWLNMs4qiDnSexndzmI&#10;hi9rWZXyP3/1A1BLAwQUAAAACACHTuJA6KZ5rDwCAABnBAAADgAAAGRycy9lMm9Eb2MueG1srVTN&#10;bhMxEL4j8Q6W73Q3v4Womyq0KkKKaKWAODteb3Yl/2E73Q0PAG/AiQt3nivPwWdvklaFQw9cvOOZ&#10;8Tf+vhnvxWWnJLkXzjdGF3RwllMiNDdlozcF/fTx5tVrSnxgumTSaFHQnfD0cv7yxUVrZ2JoaiNL&#10;4QhAtJ+1tqB1CHaWZZ7XQjF/ZqzQCFbGKRawdZusdKwFupLZMM+nWWtcaZ3hwnt4r/sgPSC65wCa&#10;qmq4uDZ8q4QOPaoTkgVQ8nVjPZ2n21aV4OG2qrwIRBYUTENaUQT2Oq7Z/ILNNo7ZuuGHK7DnXOEJ&#10;J8UajaInqGsWGNm65i8o1XBnvKnCGTcq64kkRcBikD/RZlUzKxIXSO3tSXT//2D5h/s7R5qyoCNI&#10;oplCx/c/vu9//t7/+kbgg0Ct9TPkrSwyQ/fWdBibo9/DGXl3lVPxC0YEcWDtTvKKLhAO52h6Pp1O&#10;KOEIDSfjPE/o2cNh63x4J4wi0SioQ/eSqOx+6QMugtRjSqylzU0jZeqg1KQt6HQ0ydOBUwQnpMbB&#10;SKG/arRCt+4OvNam3IGWM/1keMtvGhRfMh/umMMogAkeS7jFUkmDIuZgUVIb9/Vf/piPDiFKSYvR&#10;Kqj/smVOUCLfa/TuzWA8BmxIm/HkfIiNexxZP47orboymN4BnqXlyYz5QR7Nyhn1GW9qEasixDRH&#10;7YKGo3kV+oHHm+RisUhJmD7LwlKvLI/QvZyLbTBVk5SOMvXaHNTD/KUGHN5KHPDH+5T18H+Y/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LFRe/2AAAAAcBAAAPAAAAAAAAAAEAIAAAACIAAABkcnMv&#10;ZG93bnJldi54bWxQSwECFAAUAAAACACHTuJA6KZ5rDwCAABnBAAADgAAAAAAAAABACAAAAAnAQAA&#10;ZHJzL2Uyb0RvYy54bWxQSwUGAAAAAAYABgBZAQAA1QUAAAAA&#10;">
                      <v:fill on="f" focussize="0,0"/>
                      <v:stroke on="f" weight="0.5pt"/>
                      <v:imagedata o:title=""/>
                      <o:lock v:ext="edit" aspectratio="f"/>
                      <v:textbox>
                        <w:txbxContent>
                          <w:p w14:paraId="1776A128">
                            <w:r>
                              <w:rPr>
                                <w:rFonts w:hint="eastAsia"/>
                              </w:rPr>
                              <w:t>G</w:t>
                            </w:r>
                          </w:p>
                        </w:txbxContent>
                      </v:textbox>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1729740</wp:posOffset>
                      </wp:positionH>
                      <wp:positionV relativeFrom="paragraph">
                        <wp:posOffset>-30480</wp:posOffset>
                      </wp:positionV>
                      <wp:extent cx="367665" cy="2540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36766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55285">
                                  <w:r>
                                    <w:rPr>
                                      <w:rFonts w:hint="eastAsia"/>
                                    </w:rPr>
                                    <w: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2pt;margin-top:-2.4pt;height:20pt;width:28.95pt;z-index:251674624;mso-width-relative:page;mso-height-relative:page;" filled="f" stroked="f" coordsize="21600,21600" o:gfxdata="UEsDBAoAAAAAAIdO4kAAAAAAAAAAAAAAAAAEAAAAZHJzL1BLAwQUAAAACACHTuJAcP5pBtoAAAAJ&#10;AQAADwAAAGRycy9kb3ducmV2LnhtbE2Py07DMBBF90j8gzVI7Fq7TkurEKdCkSokBIuWbrpz4mkS&#10;4UeI3Qd8PcMKdjOaozvnFuurs+yMY+yDVzCbCmDom2B63yrYv28mK2AxaW+0DR4VfGGEdXl7U+jc&#10;hIvf4nmXWkYhPuZaQZfSkHMemw6djtMwoKfbMYxOJ1rHlptRXyjcWS6FeOBO954+dHrAqsPmY3dy&#10;Cl6qzZve1tKtvm31/Hp8Gj73h4VS93cz8Qgs4TX9wfCrT+pQklMdTt5EZhXIpZwTqmAypwoEZJnI&#10;gNU0LCTwsuD/G5Q/UEsDBBQAAAAIAIdO4kCy2bpEPAIAAGcEAAAOAAAAZHJzL2Uyb0RvYy54bWyt&#10;VM1uEzEQviPxDpbvdDe/haibKrQqQopopYA4O15vdiX/YTvdDQ8Ab8CJC3eeK8/BZ2+SVoVDD1w2&#10;45nxzHzffM7FZackuRfON0YXdHCWUyI0N2WjNwX99PHm1WtKfGC6ZNJoUdCd8PRy/vLFRWtnYmhq&#10;I0vhCIpoP2ttQesQ7CzLPK+FYv7MWKERrIxTLODoNlnpWIvqSmbDPJ9mrXGldYYL7+G97oP0UNE9&#10;p6CpqoaLa8O3SujQV3VCsgBIvm6sp/M0bVUJHm6ryotAZEGBNKQvmsBex282v2CzjWO2bvhhBPac&#10;EZ5gUqzRaHoqdc0CI1vX/FVKNdwZb6pwxo3KeiCJEaAY5E+4WdXMioQFVHt7It3/v7L8w/2dI01Z&#10;0NGAEs0UNr7/8X3/8/f+1zcCHwhqrZ8hb2WRGbq3poNsjn4PZ8TdVU7FXyAiiIPe3Yle0QXC4RxN&#10;z6fTCSUcoeFknOeJ/uzhsnU+vBNGkWgU1GF7iVR2v/QBgyD1mBJ7aXPTSJk2KDVpCzodTfJ04RTB&#10;DalxMULoR41W6NbdAdfalDvAcqZXhrf8pkHzJfPhjjlIAUjwWMItPpU0aGIOFiW1cV//5Y/52BCi&#10;lLSQVkH9ly1zghL5XmN3bwbjcdRiOown50Mc3OPI+nFEb9WVgXqxHkyXzJgf5NGsnFGf8aYWsStC&#10;THP0Lmg4mlehFzzeJBeLRUqC+iwLS72yPJbu6Vxsg6maxHSkqefmwB70lxZweCtR4I/PKevh/2H+&#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D+aQbaAAAACQEAAA8AAAAAAAAAAQAgAAAAIgAAAGRy&#10;cy9kb3ducmV2LnhtbFBLAQIUABQAAAAIAIdO4kCy2bpEPAIAAGcEAAAOAAAAAAAAAAEAIAAAACkB&#10;AABkcnMvZTJvRG9jLnhtbFBLBQYAAAAABgAGAFkBAADXBQAAAAA=&#10;">
                      <v:fill on="f" focussize="0,0"/>
                      <v:stroke on="f" weight="0.5pt"/>
                      <v:imagedata o:title=""/>
                      <o:lock v:ext="edit" aspectratio="f"/>
                      <v:textbox>
                        <w:txbxContent>
                          <w:p w14:paraId="60455285">
                            <w:r>
                              <w:rPr>
                                <w:rFonts w:hint="eastAsia"/>
                              </w:rPr>
                              <w:t>H</w:t>
                            </w:r>
                          </w:p>
                        </w:txbxContent>
                      </v:textbox>
                    </v:shape>
                  </w:pict>
                </mc:Fallback>
              </mc:AlternateContent>
            </w:r>
            <w:r>
              <w:rPr>
                <w:rFonts w:ascii="Times New Roman" w:hAnsi="Times New Roman" w:cs="Times New Roman"/>
                <w:sz w:val="24"/>
              </w:rPr>
              <w:drawing>
                <wp:anchor distT="0" distB="0" distL="114300" distR="114300" simplePos="0" relativeHeight="251665408" behindDoc="0" locked="0" layoutInCell="1" allowOverlap="1">
                  <wp:simplePos x="0" y="0"/>
                  <wp:positionH relativeFrom="column">
                    <wp:posOffset>2540</wp:posOffset>
                  </wp:positionH>
                  <wp:positionV relativeFrom="paragraph">
                    <wp:posOffset>626745</wp:posOffset>
                  </wp:positionV>
                  <wp:extent cx="1692910" cy="1631315"/>
                  <wp:effectExtent l="0" t="0" r="8890" b="6985"/>
                  <wp:wrapSquare wrapText="bothSides"/>
                  <wp:docPr id="32" name="图片 32" descr="叶鲜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叶鲜重"/>
                          <pic:cNvPicPr>
                            <a:picLocks noChangeAspect="1"/>
                          </pic:cNvPicPr>
                        </pic:nvPicPr>
                        <pic:blipFill>
                          <a:blip r:embed="rId27"/>
                          <a:stretch>
                            <a:fillRect/>
                          </a:stretch>
                        </pic:blipFill>
                        <pic:spPr>
                          <a:xfrm>
                            <a:off x="0" y="0"/>
                            <a:ext cx="1692910" cy="1631315"/>
                          </a:xfrm>
                          <a:prstGeom prst="rect">
                            <a:avLst/>
                          </a:prstGeom>
                        </pic:spPr>
                      </pic:pic>
                    </a:graphicData>
                  </a:graphic>
                </wp:anchor>
              </w:drawing>
            </w:r>
          </w:p>
        </w:tc>
        <w:tc>
          <w:tcPr>
            <w:tcW w:w="1666" w:type="pct"/>
          </w:tcPr>
          <w:p w14:paraId="6F48794E">
            <w:pPr>
              <w:snapToGrid w:val="0"/>
              <w:spacing w:line="440" w:lineRule="exact"/>
              <w:rPr>
                <w:rFonts w:ascii="Times New Roman" w:hAnsi="Times New Roman" w:cs="Times New Roman"/>
                <w:sz w:val="22"/>
                <w:szCs w:val="22"/>
              </w:rPr>
            </w:pPr>
            <w:r>
              <w:rPr>
                <w:rFonts w:ascii="Times New Roman" w:hAnsi="Times New Roman" w:cs="Times New Roman"/>
                <w:sz w:val="24"/>
              </w:rPr>
              <w:drawing>
                <wp:anchor distT="0" distB="0" distL="114300" distR="114300" simplePos="0" relativeHeight="251666432" behindDoc="0" locked="0" layoutInCell="1" allowOverlap="1">
                  <wp:simplePos x="0" y="0"/>
                  <wp:positionH relativeFrom="column">
                    <wp:posOffset>-67945</wp:posOffset>
                  </wp:positionH>
                  <wp:positionV relativeFrom="paragraph">
                    <wp:posOffset>549275</wp:posOffset>
                  </wp:positionV>
                  <wp:extent cx="1797685" cy="1763395"/>
                  <wp:effectExtent l="0" t="0" r="5715" b="1905"/>
                  <wp:wrapSquare wrapText="bothSides"/>
                  <wp:docPr id="33" name="图片 33" descr="根鲜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根鲜重"/>
                          <pic:cNvPicPr>
                            <a:picLocks noChangeAspect="1"/>
                          </pic:cNvPicPr>
                        </pic:nvPicPr>
                        <pic:blipFill>
                          <a:blip r:embed="rId28"/>
                          <a:stretch>
                            <a:fillRect/>
                          </a:stretch>
                        </pic:blipFill>
                        <pic:spPr>
                          <a:xfrm>
                            <a:off x="0" y="0"/>
                            <a:ext cx="1797685" cy="1763395"/>
                          </a:xfrm>
                          <a:prstGeom prst="rect">
                            <a:avLst/>
                          </a:prstGeom>
                        </pic:spPr>
                      </pic:pic>
                    </a:graphicData>
                  </a:graphic>
                </wp:anchor>
              </w:drawing>
            </w:r>
          </w:p>
        </w:tc>
        <w:tc>
          <w:tcPr>
            <w:tcW w:w="1666" w:type="pct"/>
          </w:tcPr>
          <w:p w14:paraId="63CBD647">
            <w:pPr>
              <w:snapToGrid w:val="0"/>
              <w:spacing w:line="440" w:lineRule="exact"/>
              <w:rPr>
                <w:rFonts w:ascii="Times New Roman" w:hAnsi="Times New Roman" w:cs="Times New Roman"/>
                <w:sz w:val="22"/>
                <w:szCs w:val="22"/>
              </w:rPr>
            </w:pPr>
          </w:p>
        </w:tc>
      </w:tr>
    </w:tbl>
    <w:p w14:paraId="1A632084">
      <w:pPr>
        <w:snapToGrid w:val="0"/>
        <w:jc w:val="center"/>
        <w:rPr>
          <w:rFonts w:hint="eastAsia" w:ascii="黑体" w:hAnsi="黑体" w:eastAsia="黑体" w:cs="黑体"/>
          <w:szCs w:val="21"/>
        </w:rPr>
      </w:pPr>
      <w:r>
        <w:rPr>
          <w:rFonts w:hint="eastAsia" w:ascii="黑体" w:hAnsi="黑体" w:eastAsia="黑体" w:cs="黑体"/>
          <w:szCs w:val="21"/>
        </w:rPr>
        <w:t>图</w:t>
      </w:r>
      <w:r>
        <w:rPr>
          <w:rFonts w:hint="eastAsia" w:ascii="黑体" w:hAnsi="黑体" w:eastAsia="黑体" w:cs="黑体"/>
          <w:szCs w:val="21"/>
          <w:lang w:val="en-US" w:eastAsia="zh-CN"/>
        </w:rPr>
        <w:t>9</w:t>
      </w:r>
      <w:r>
        <w:rPr>
          <w:rFonts w:hint="eastAsia" w:ascii="黑体" w:hAnsi="黑体" w:eastAsia="黑体" w:cs="黑体"/>
          <w:szCs w:val="21"/>
        </w:rPr>
        <w:t xml:space="preserve"> 不同温度对</w:t>
      </w:r>
      <w:r>
        <w:rPr>
          <w:rFonts w:hint="eastAsia" w:ascii="黑体" w:hAnsi="黑体" w:eastAsia="黑体" w:cs="黑体"/>
          <w:szCs w:val="21"/>
          <w:lang w:val="en-US" w:eastAsia="zh-CN"/>
        </w:rPr>
        <w:t>茎用莴苣表型</w:t>
      </w:r>
      <w:r>
        <w:rPr>
          <w:rFonts w:hint="eastAsia" w:ascii="黑体" w:hAnsi="黑体" w:eastAsia="黑体" w:cs="黑体"/>
          <w:szCs w:val="21"/>
        </w:rPr>
        <w:t>性状的影响</w:t>
      </w:r>
    </w:p>
    <w:p w14:paraId="178A0E21">
      <w:pPr>
        <w:snapToGrid w:val="0"/>
        <w:jc w:val="center"/>
        <w:rPr>
          <w:rFonts w:hint="eastAsia" w:ascii="黑体" w:hAnsi="黑体" w:eastAsia="黑体" w:cs="黑体"/>
          <w:szCs w:val="21"/>
        </w:rPr>
      </w:pPr>
      <w:r>
        <w:rPr>
          <w:rFonts w:hint="eastAsia" w:ascii="黑体" w:hAnsi="黑体" w:eastAsia="黑体" w:cs="黑体"/>
          <w:szCs w:val="21"/>
        </w:rPr>
        <w:t>A：株高；B：根长；C：叶长；D：叶宽；E：叶柄宽；F：叶柄厚；G：叶鲜重；H：根鲜重。</w:t>
      </w:r>
    </w:p>
    <w:p w14:paraId="72261B79">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不同温度对茎用莴苣叶片抗氧化酶活性的影响</w:t>
      </w:r>
    </w:p>
    <w:p w14:paraId="4B7F77CE">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由图</w:t>
      </w:r>
      <w:r>
        <w:rPr>
          <w:rStyle w:val="8"/>
          <w:rFonts w:hint="eastAsia" w:eastAsia="方正仿宋_GB2312" w:cstheme="minorBidi"/>
          <w:b w:val="0"/>
          <w:bCs/>
          <w:sz w:val="32"/>
          <w:szCs w:val="32"/>
          <w:lang w:val="en-US" w:eastAsia="zh-CN"/>
        </w:rPr>
        <w:t>10</w:t>
      </w:r>
      <w:r>
        <w:rPr>
          <w:rStyle w:val="8"/>
          <w:rFonts w:hint="default" w:eastAsia="方正仿宋_GB2312" w:cstheme="minorBidi"/>
          <w:b w:val="0"/>
          <w:bCs/>
          <w:sz w:val="32"/>
          <w:szCs w:val="32"/>
          <w:lang w:val="en-US" w:eastAsia="zh-CN"/>
        </w:rPr>
        <w:t>可知，在不同温度处理下，WS1与WS3的CAT、POD和SOD活性存在较大差异。在高温条件下，处理6天和10天后，WS1的CAT活性和SOD活性均与对照存在显著差异；在低温条件下，处理10天后，WS1的CAT活性和SOD活性也均显著高于对照，同时WS3的SOD活性与对照相比亦存在显著差异。</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74939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78691A31">
            <w:pPr>
              <w:rPr>
                <w:rFonts w:ascii="Times New Roman" w:hAnsi="Times New Roman" w:cs="Times New Roman"/>
                <w:sz w:val="22"/>
                <w:szCs w:val="22"/>
              </w:rPr>
            </w:pPr>
            <w:r>
              <w:rPr>
                <w:sz w:val="22"/>
              </w:rPr>
              <mc:AlternateContent>
                <mc:Choice Requires="wps">
                  <w:drawing>
                    <wp:anchor distT="0" distB="0" distL="114300" distR="114300" simplePos="0" relativeHeight="251677696" behindDoc="0" locked="0" layoutInCell="1" allowOverlap="1">
                      <wp:simplePos x="0" y="0"/>
                      <wp:positionH relativeFrom="column">
                        <wp:posOffset>10160</wp:posOffset>
                      </wp:positionH>
                      <wp:positionV relativeFrom="paragraph">
                        <wp:posOffset>48895</wp:posOffset>
                      </wp:positionV>
                      <wp:extent cx="277495" cy="312420"/>
                      <wp:effectExtent l="0" t="0" r="0" b="0"/>
                      <wp:wrapNone/>
                      <wp:docPr id="34" name="文本框 34"/>
                      <wp:cNvGraphicFramePr/>
                      <a:graphic xmlns:a="http://schemas.openxmlformats.org/drawingml/2006/main">
                        <a:graphicData uri="http://schemas.microsoft.com/office/word/2010/wordprocessingShape">
                          <wps:wsp>
                            <wps:cNvSpPr txBox="1"/>
                            <wps:spPr>
                              <a:xfrm>
                                <a:off x="1144270" y="5838190"/>
                                <a:ext cx="277495" cy="312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D2F5F">
                                  <w:r>
                                    <w:rPr>
                                      <w:rFonts w:hint="eastAsia"/>
                                    </w:rPr>
                                    <w:t>A</w:t>
                                  </w:r>
                                </w:p>
                                <w:p w14:paraId="45B181A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pt;margin-top:3.85pt;height:24.6pt;width:21.85pt;z-index:251677696;mso-width-relative:page;mso-height-relative:page;" filled="f" stroked="f" coordsize="21600,21600" o:gfxdata="UEsDBAoAAAAAAIdO4kAAAAAAAAAAAAAAAAAEAAAAZHJzL1BLAwQUAAAACACHTuJAuseTX9cAAAAF&#10;AQAADwAAAGRycy9kb3ducmV2LnhtbE2OTU/DMBBE70j8B2uRuFGnhaQljVOhSBUSgkNLL9w2sZtE&#10;tdchdj/g17Oc4Dia0ZtXrC7OipMZQ+9JwXSSgDDUeN1Tq2D3vr5bgAgRSaP1ZBR8mQCr8vqqwFz7&#10;M23MaRtbwRAKOSroYhxyKUPTGYdh4gdD3O396DByHFupRzwz3Fk5S5JMOuyJHzocTNWZ5rA9OgUv&#10;1foNN/XMLb5t9fy6fxo+dx+pUrc302QJIppL/BvDrz6rQ8lOtT+SDsJyznioYD4Hwe1Deg+iVpBm&#10;jyDLQv63L38AUEsDBBQAAAAIAIdO4kCBkfPsSAIAAHMEAAAOAAAAZHJzL2Uyb0RvYy54bWytVM2O&#10;0zAQviPxDpbvNP3d/qjpqmxVhFSxKxXE2XWcJpLtMbbbpDwAvAEnLtx5rn0Oxk7arRYOe+DijGfG&#10;M/N9M5P5ba0kOQrrStAp7XW6lAjNISv1PqWfPq7fTChxnumMSdAipSfh6O3i9at5ZWaiDwXITFiC&#10;QbSbVSalhfdmliSOF0Ix1wEjNBpzsIp5vNp9kllWYXQlk363e5NUYDNjgQvnULtqjLSNaF8SEPK8&#10;5GIF/KCE9k1UKyTzCMkVpXF0EavNc8H9fZ474YlMKSL18cQkKO/CmSzmbLa3zBQlb0tgLynhGSbF&#10;So1JL6FWzDNysOVfoVTJLTjIfYeDShogkRFE0es+42ZbMCMiFqTamQvp7v+F5R+OD5aUWUoHQ0o0&#10;U9jxxx/fH3/+fvz1jaAOCaqMm6Hf1qCnr99CjWNz1jtUBtx1blX4IiIS7L3hsD9Gkk8pHU0Gk960&#10;pVrUnnB06I/Hw+mIEo4Og15/2I/25CmQsc6/E6BIEFJqsZORYHbcOI9FoevZJeTVsC6ljN2UmlQp&#10;vRmMuvHBxYIvpMaHAU5TdpB8vatbjDvITgjRQjMlzvB1ick3zPkHZnEsEA8ujr/HI5eASaCVKCnA&#10;fv2XPvhjt9BKSYVjllL35cCsoES+19jHKRIV5jJehqMx8kDstWV3bdEHdQc4yT1cUcOjGPy9PIu5&#10;BfUZ92sZsqKJaY65U+rP4p1vhh/3k4vlMjrhJBrmN3preAjd0Lk8eMjLyHSgqeGmZQ9nMTag3Zsw&#10;7Nf36PX0r1j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rHk1/XAAAABQEAAA8AAAAAAAAAAQAg&#10;AAAAIgAAAGRycy9kb3ducmV2LnhtbFBLAQIUABQAAAAIAIdO4kCBkfPsSAIAAHMEAAAOAAAAAAAA&#10;AAEAIAAAACYBAABkcnMvZTJvRG9jLnhtbFBLBQYAAAAABgAGAFkBAADgBQAAAAA=&#10;">
                      <v:fill on="f" focussize="0,0"/>
                      <v:stroke on="f" weight="0.5pt"/>
                      <v:imagedata o:title=""/>
                      <o:lock v:ext="edit" aspectratio="f"/>
                      <v:textbox>
                        <w:txbxContent>
                          <w:p w14:paraId="1B1D2F5F">
                            <w:r>
                              <w:rPr>
                                <w:rFonts w:hint="eastAsia"/>
                              </w:rPr>
                              <w:t>A</w:t>
                            </w:r>
                          </w:p>
                          <w:p w14:paraId="45B181A8"/>
                        </w:txbxContent>
                      </v:textbox>
                    </v:shape>
                  </w:pict>
                </mc:Fallback>
              </mc:AlternateContent>
            </w:r>
            <w:r>
              <w:rPr>
                <w:rFonts w:ascii="Times New Roman" w:hAnsi="Times New Roman" w:cs="Times New Roman"/>
                <w:sz w:val="22"/>
                <w:szCs w:val="22"/>
              </w:rPr>
              <w:drawing>
                <wp:anchor distT="0" distB="0" distL="114300" distR="114300" simplePos="0" relativeHeight="251675648" behindDoc="0" locked="0" layoutInCell="1" allowOverlap="1">
                  <wp:simplePos x="0" y="0"/>
                  <wp:positionH relativeFrom="column">
                    <wp:posOffset>13335</wp:posOffset>
                  </wp:positionH>
                  <wp:positionV relativeFrom="paragraph">
                    <wp:posOffset>220345</wp:posOffset>
                  </wp:positionV>
                  <wp:extent cx="2565400" cy="1450975"/>
                  <wp:effectExtent l="0" t="0" r="0" b="9525"/>
                  <wp:wrapSquare wrapText="bothSides"/>
                  <wp:docPr id="35" name="图片 35"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AT"/>
                          <pic:cNvPicPr>
                            <a:picLocks noChangeAspect="1"/>
                          </pic:cNvPicPr>
                        </pic:nvPicPr>
                        <pic:blipFill>
                          <a:blip r:embed="rId29"/>
                          <a:stretch>
                            <a:fillRect/>
                          </a:stretch>
                        </pic:blipFill>
                        <pic:spPr>
                          <a:xfrm>
                            <a:off x="0" y="0"/>
                            <a:ext cx="2565400" cy="1450975"/>
                          </a:xfrm>
                          <a:prstGeom prst="rect">
                            <a:avLst/>
                          </a:prstGeom>
                        </pic:spPr>
                      </pic:pic>
                    </a:graphicData>
                  </a:graphic>
                </wp:anchor>
              </w:drawing>
            </w:r>
          </w:p>
        </w:tc>
        <w:tc>
          <w:tcPr>
            <w:tcW w:w="4261" w:type="dxa"/>
          </w:tcPr>
          <w:p w14:paraId="5D30EC35">
            <w:pPr>
              <w:rPr>
                <w:rFonts w:ascii="Times New Roman" w:hAnsi="Times New Roman" w:cs="Times New Roman"/>
                <w:sz w:val="22"/>
                <w:szCs w:val="22"/>
              </w:rPr>
            </w:pPr>
            <w:r>
              <w:rPr>
                <w:sz w:val="22"/>
              </w:rPr>
              <mc:AlternateContent>
                <mc:Choice Requires="wps">
                  <w:drawing>
                    <wp:anchor distT="0" distB="0" distL="114300" distR="114300" simplePos="0" relativeHeight="251678720" behindDoc="0" locked="0" layoutInCell="1" allowOverlap="1">
                      <wp:simplePos x="0" y="0"/>
                      <wp:positionH relativeFrom="column">
                        <wp:posOffset>-39370</wp:posOffset>
                      </wp:positionH>
                      <wp:positionV relativeFrom="paragraph">
                        <wp:posOffset>46355</wp:posOffset>
                      </wp:positionV>
                      <wp:extent cx="286385" cy="26352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86385" cy="263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C0790B">
                                  <w:r>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pt;margin-top:3.65pt;height:20.75pt;width:22.55pt;z-index:251678720;mso-width-relative:page;mso-height-relative:page;" filled="f" stroked="f" coordsize="21600,21600" o:gfxdata="UEsDBAoAAAAAAIdO4kAAAAAAAAAAAAAAAAAEAAAAZHJzL1BLAwQUAAAACACHTuJA2eVrStgAAAAG&#10;AQAADwAAAGRycy9kb3ducmV2LnhtbE2OTU/DMBBE70j8B2uRuLVOUyhumk2FIlVICA4tvXDbxNsk&#10;IrZD7H7Ar8ec4Dia0ZuXry+mFycefecswmyagGBbO93ZBmH/tpkoED6Q1dQ7ywhf7GFdXF/llGl3&#10;tls+7UIjIsT6jBDaEIZMSl+3bMhP3cA2dgc3Ggoxjo3UI50j3PQyTZKFNNTZ+NDSwGXL9cfuaBCe&#10;y80rbavUqO++fHo5PA6f+/d7xNubWbICEfgS/sbwqx/VoYhOlTta7UWPMFmkcYnwMAcR67lagqgQ&#10;7pQCWeTyv37xA1BLAwQUAAAACACHTuJAWkofVTwCAABnBAAADgAAAGRycy9lMm9Eb2MueG1srVTN&#10;jtMwEL4j8Q6W7zRt+kOpmq7KVkVIK3algji7jtNEsj3GdpuUB4A34MSFO8/V52DspN1q4bAHLu54&#10;ZvKNv29mOr9plCQHYV0FOqODXp8SoTnkld5l9NPH9aspJc4znTMJWmT0KBy9Wbx8Ma/NTKRQgsyF&#10;JQii3aw2GS29N7MkcbwUirkeGKExWIBVzOPV7pLcshrRlUzSfn+S1GBzY4EL59C7aoO0Q7TPAYSi&#10;qLhYAd8roX2LaoVkHim5sjKOLuJri0Jwf18UTngiM4pMfTyxCNrbcCaLOZvtLDNlxbsnsOc84Qkn&#10;xSqNRS9QK+YZ2dvqLyhVcQsOCt/joJKWSFQEWQz6T7TZlMyIyAWlduYiuvt/sPzD4cGSKs/ocEKJ&#10;Zgo7fvrx/fTz9+nXN4I+FKg2boZ5G4OZvnkLDY7N2e/QGXg3hVXhFxkRjKO8x4u8ovGEozOdTobT&#10;MSUcQ+lkOE7HASV5/NhY598JUCQYGbXYvSgqO9w536aeU0ItDetKythBqUmdUcTsxw8uEQSXGmsE&#10;Cu1Tg+WbbdPx2kJ+RFoW2slwhq8rLH7HnH9gFkcBmeCy+Hs8CglYBDqLkhLs13/5Qz52CKOU1Dha&#10;GXVf9swKSuR7jb17MxiNwizGy2j8OsWLvY5sryN6r24Bp3eAa2l4NEO+l2ezsKA+404tQ1UMMc2x&#10;dkb92bz17cDjTnKxXMYknD7D/J3eGB6gWzmXew9FFZUOMrXadOrh/MVedbsSBvz6HrMe/x8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Z5WtK2AAAAAYBAAAPAAAAAAAAAAEAIAAAACIAAABkcnMv&#10;ZG93bnJldi54bWxQSwECFAAUAAAACACHTuJAWkofVTwCAABnBAAADgAAAAAAAAABACAAAAAnAQAA&#10;ZHJzL2Uyb0RvYy54bWxQSwUGAAAAAAYABgBZAQAA1QUAAAAA&#10;">
                      <v:fill on="f" focussize="0,0"/>
                      <v:stroke on="f" weight="0.5pt"/>
                      <v:imagedata o:title=""/>
                      <o:lock v:ext="edit" aspectratio="f"/>
                      <v:textbox>
                        <w:txbxContent>
                          <w:p w14:paraId="1BC0790B">
                            <w:r>
                              <w:rPr>
                                <w:rFonts w:hint="eastAsia"/>
                              </w:rPr>
                              <w:t>B</w:t>
                            </w:r>
                          </w:p>
                        </w:txbxContent>
                      </v:textbox>
                    </v:shape>
                  </w:pict>
                </mc:Fallback>
              </mc:AlternateContent>
            </w:r>
            <w:r>
              <w:rPr>
                <w:rFonts w:ascii="Times New Roman" w:hAnsi="Times New Roman" w:cs="Times New Roman"/>
                <w:sz w:val="22"/>
                <w:szCs w:val="22"/>
              </w:rPr>
              <w:drawing>
                <wp:anchor distT="0" distB="0" distL="114300" distR="114300" simplePos="0" relativeHeight="251676672" behindDoc="0" locked="0" layoutInCell="1" allowOverlap="1">
                  <wp:simplePos x="0" y="0"/>
                  <wp:positionH relativeFrom="column">
                    <wp:posOffset>-22225</wp:posOffset>
                  </wp:positionH>
                  <wp:positionV relativeFrom="paragraph">
                    <wp:posOffset>217805</wp:posOffset>
                  </wp:positionV>
                  <wp:extent cx="2564765" cy="1574165"/>
                  <wp:effectExtent l="0" t="0" r="635" b="635"/>
                  <wp:wrapSquare wrapText="bothSides"/>
                  <wp:docPr id="37" name="图片 37" descr="P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POD"/>
                          <pic:cNvPicPr>
                            <a:picLocks noChangeAspect="1"/>
                          </pic:cNvPicPr>
                        </pic:nvPicPr>
                        <pic:blipFill>
                          <a:blip r:embed="rId30"/>
                          <a:stretch>
                            <a:fillRect/>
                          </a:stretch>
                        </pic:blipFill>
                        <pic:spPr>
                          <a:xfrm>
                            <a:off x="0" y="0"/>
                            <a:ext cx="2564765" cy="1574165"/>
                          </a:xfrm>
                          <a:prstGeom prst="rect">
                            <a:avLst/>
                          </a:prstGeom>
                        </pic:spPr>
                      </pic:pic>
                    </a:graphicData>
                  </a:graphic>
                </wp:anchor>
              </w:drawing>
            </w:r>
          </w:p>
        </w:tc>
      </w:tr>
      <w:tr w14:paraId="0B6FB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14:paraId="250DF715">
            <w:pPr>
              <w:rPr>
                <w:rFonts w:ascii="Times New Roman" w:hAnsi="Times New Roman" w:cs="Times New Roman"/>
                <w:sz w:val="22"/>
                <w:szCs w:val="22"/>
              </w:rPr>
            </w:pPr>
            <w:r>
              <w:rPr>
                <w:sz w:val="22"/>
              </w:rPr>
              <mc:AlternateContent>
                <mc:Choice Requires="wps">
                  <w:drawing>
                    <wp:anchor distT="0" distB="0" distL="114300" distR="114300" simplePos="0" relativeHeight="251679744" behindDoc="0" locked="0" layoutInCell="1" allowOverlap="1">
                      <wp:simplePos x="0" y="0"/>
                      <wp:positionH relativeFrom="column">
                        <wp:posOffset>42545</wp:posOffset>
                      </wp:positionH>
                      <wp:positionV relativeFrom="paragraph">
                        <wp:posOffset>37465</wp:posOffset>
                      </wp:positionV>
                      <wp:extent cx="286385" cy="263525"/>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286385" cy="263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BA6AF0">
                                  <w:r>
                                    <w:rPr>
                                      <w:rFonts w:hint="eastAsia"/>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pt;margin-top:2.95pt;height:20.75pt;width:22.55pt;z-index:251679744;mso-width-relative:page;mso-height-relative:page;" filled="f" stroked="f" coordsize="21600,21600" o:gfxdata="UEsDBAoAAAAAAIdO4kAAAAAAAAAAAAAAAAAEAAAAZHJzL1BLAwQUAAAACACHTuJAFw/y3tcAAAAF&#10;AQAADwAAAGRycy9kb3ducmV2LnhtbE2PS0/DMBCE70j8B2uRuFEnVdNHGqdCkSokBIeWXrg58TaJ&#10;sNchdh/w61lOcBzNaOabYnN1VpxxDL0nBekkAYHUeNNTq+Dwtn1YgghRk9HWEyr4wgCb8vam0Lnx&#10;F9rheR9bwSUUcq2gi3HIpQxNh06HiR+Q2Dv60enIcmylGfWFy52V0ySZS6d74oVOD1h12HzsT07B&#10;c7V91bt66pbftnp6OT4On4f3TKn7uzRZg4h4jX9h+MVndCiZqfYnMkFYBfMFBxVkKxDsZin/qBXM&#10;FjOQZSH/05c/UEsDBBQAAAAIAIdO4kCRoNhhOwIAAGcEAAAOAAAAZHJzL2Uyb0RvYy54bWytVMFu&#10;EzEQvSPxD5bvdJO0KSXqpgqtipAqWqkgzo7Xm13J9hjb6W75APgDTly48139Dp69SRoVDj1wccYz&#10;s2/83szk9Kw3mt0pH1qyJR8fjDhTVlLV2lXJP328fHXCWYjCVkKTVSW/V4GfzV++OO3cTE2oIV0p&#10;zwBiw6xzJW9idLOiCLJRRoQDcsoiWJM3IuLqV0XlRQd0o4vJaHRcdOQr50mqEOC9GIJ8g+ifA0h1&#10;3Up1QXJtlI0DqldaRFAKTesCn+fX1rWS8bqug4pMlxxMYz5RBPYyncX8VMxWXrimlZsniOc84Qkn&#10;I1qLojuoCxEFW/v2LyjTSk+B6nggyRQDkawIWIxHT7S5bYRTmQukDm4nevh/sPLD3Y1nbVXyQ/Td&#10;CoOOP/z4/vDz98Ovbww+CNS5MEPerUNm7N9Sj7HZ+gOciXdfe5N+wYghDnnvd/KqPjIJ5+Tk+PBk&#10;yplEaHJ8OJ1ME0rx+LHzIb5TZFgySu7RvSyquLsKcUjdpqRali5brXMHtWVdyYE5yh/sIgDXFjUS&#10;heGpyYr9st/wWlJ1D1qehskITl62KH4lQrwRHqMAJliWeI2j1oQitLE4a8h//Zc/5aNDiHLWYbRK&#10;Hr6shVec6fcWvXszPjpKs5gvR9PXE1z8fmS5H7Frc06Y3jHW0slspvyot2btyXzGTi1SVYSElahd&#10;8rg1z+Mw8NhJqRaLnITpcyJe2VsnE/Qg52IdqW6z0kmmQZuNepi/3KvNrqQB37/nrMf/h/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Fw/y3tcAAAAFAQAADwAAAAAAAAABACAAAAAiAAAAZHJzL2Rv&#10;d25yZXYueG1sUEsBAhQAFAAAAAgAh07iQJGg2GE7AgAAZwQAAA4AAAAAAAAAAQAgAAAAJgEAAGRy&#10;cy9lMm9Eb2MueG1sUEsFBgAAAAAGAAYAWQEAANMFAAAAAA==&#10;">
                      <v:fill on="f" focussize="0,0"/>
                      <v:stroke on="f" weight="0.5pt"/>
                      <v:imagedata o:title=""/>
                      <o:lock v:ext="edit" aspectratio="f"/>
                      <v:textbox>
                        <w:txbxContent>
                          <w:p w14:paraId="3CBA6AF0">
                            <w:r>
                              <w:rPr>
                                <w:rFonts w:hint="eastAsia"/>
                              </w:rPr>
                              <w:t>C</w:t>
                            </w:r>
                          </w:p>
                        </w:txbxContent>
                      </v:textbox>
                    </v:shape>
                  </w:pict>
                </mc:Fallback>
              </mc:AlternateContent>
            </w:r>
            <w:r>
              <w:rPr>
                <w:rFonts w:ascii="Times New Roman" w:hAnsi="Times New Roman" w:cs="Times New Roman"/>
                <w:sz w:val="22"/>
                <w:szCs w:val="22"/>
              </w:rPr>
              <w:drawing>
                <wp:inline distT="0" distB="0" distL="114300" distR="114300">
                  <wp:extent cx="2563495" cy="1258570"/>
                  <wp:effectExtent l="0" t="0" r="1905" b="11430"/>
                  <wp:docPr id="47" name="图片 47" descr="e79731ab-c0b4-4406-ab19-71babd6e66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79731ab-c0b4-4406-ab19-71babd6e667a"/>
                          <pic:cNvPicPr>
                            <a:picLocks noChangeAspect="1"/>
                          </pic:cNvPicPr>
                        </pic:nvPicPr>
                        <pic:blipFill>
                          <a:blip r:embed="rId31"/>
                          <a:stretch>
                            <a:fillRect/>
                          </a:stretch>
                        </pic:blipFill>
                        <pic:spPr>
                          <a:xfrm>
                            <a:off x="0" y="0"/>
                            <a:ext cx="2563495" cy="1258570"/>
                          </a:xfrm>
                          <a:prstGeom prst="rect">
                            <a:avLst/>
                          </a:prstGeom>
                        </pic:spPr>
                      </pic:pic>
                    </a:graphicData>
                  </a:graphic>
                </wp:inline>
              </w:drawing>
            </w:r>
          </w:p>
        </w:tc>
        <w:tc>
          <w:tcPr>
            <w:tcW w:w="4261" w:type="dxa"/>
          </w:tcPr>
          <w:p w14:paraId="3D0314B0">
            <w:pPr>
              <w:rPr>
                <w:rFonts w:ascii="Times New Roman" w:hAnsi="Times New Roman" w:cs="Times New Roman"/>
                <w:sz w:val="22"/>
                <w:szCs w:val="22"/>
              </w:rPr>
            </w:pPr>
          </w:p>
        </w:tc>
      </w:tr>
    </w:tbl>
    <w:p w14:paraId="7E0DF8DF">
      <w:pPr>
        <w:snapToGrid w:val="0"/>
        <w:jc w:val="center"/>
        <w:rPr>
          <w:rFonts w:hint="eastAsia" w:ascii="黑体" w:hAnsi="黑体" w:eastAsia="黑体" w:cs="黑体"/>
          <w:szCs w:val="21"/>
        </w:rPr>
      </w:pPr>
      <w:r>
        <w:rPr>
          <w:rFonts w:hint="eastAsia" w:ascii="黑体" w:hAnsi="黑体" w:eastAsia="黑体" w:cs="黑体"/>
          <w:szCs w:val="21"/>
        </w:rPr>
        <w:t>图</w:t>
      </w:r>
      <w:r>
        <w:rPr>
          <w:rFonts w:hint="eastAsia" w:ascii="黑体" w:hAnsi="黑体" w:eastAsia="黑体" w:cs="黑体"/>
          <w:szCs w:val="21"/>
          <w:lang w:val="en-US" w:eastAsia="zh-CN"/>
        </w:rPr>
        <w:t>10</w:t>
      </w:r>
      <w:r>
        <w:rPr>
          <w:rFonts w:hint="eastAsia" w:ascii="黑体" w:hAnsi="黑体" w:eastAsia="黑体" w:cs="黑体"/>
          <w:szCs w:val="21"/>
        </w:rPr>
        <w:t xml:space="preserve"> 不同温度处理下WS1和WS3叶片CAT（A）、POD（B）、SOD（C）的变化</w:t>
      </w:r>
    </w:p>
    <w:p w14:paraId="0474A438">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不同温度对茎用莴苣叶片可溶性蛋白及MDA含量的影响</w:t>
      </w:r>
    </w:p>
    <w:p w14:paraId="2CD8E228">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由图</w:t>
      </w:r>
      <w:r>
        <w:rPr>
          <w:rStyle w:val="8"/>
          <w:rFonts w:hint="eastAsia" w:eastAsia="方正仿宋_GB2312" w:cstheme="minorBidi"/>
          <w:b w:val="0"/>
          <w:bCs/>
          <w:sz w:val="32"/>
          <w:szCs w:val="32"/>
          <w:lang w:val="en-US" w:eastAsia="zh-CN"/>
        </w:rPr>
        <w:t>11</w:t>
      </w:r>
      <w:r>
        <w:rPr>
          <w:rStyle w:val="8"/>
          <w:rFonts w:hint="default" w:eastAsia="方正仿宋_GB2312" w:cstheme="minorBidi"/>
          <w:b w:val="0"/>
          <w:bCs/>
          <w:sz w:val="32"/>
          <w:szCs w:val="32"/>
          <w:lang w:val="en-US" w:eastAsia="zh-CN"/>
        </w:rPr>
        <w:t>可知，不同温度处理对WS1和WS3的生理指标影响不同。在高温条件下，WS1在处理2天和6天时的可溶性蛋白含量与其低温处理相比存在显著差异，且在处理10天时其MDA含量与对照相比也呈现显著差异；WS3在处理2天和10天时，所有测定指标与对照相比均存在极显著差异。在低温条件下，仅WS1在处理10天时的可溶性蛋白含量与对照存在显著差异，其余处理与对照相比均无显著性差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ECD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811C4E4">
            <w:pPr>
              <w:rPr>
                <w:rFonts w:ascii="Times New Roman" w:hAnsi="Times New Roman" w:cs="Times New Roman"/>
                <w:sz w:val="24"/>
              </w:rPr>
            </w:pPr>
            <w:r>
              <w:rPr>
                <w:sz w:val="24"/>
              </w:rPr>
              <mc:AlternateContent>
                <mc:Choice Requires="wps">
                  <w:drawing>
                    <wp:anchor distT="0" distB="0" distL="114300" distR="114300" simplePos="0" relativeHeight="251681792" behindDoc="0" locked="0" layoutInCell="1" allowOverlap="1">
                      <wp:simplePos x="0" y="0"/>
                      <wp:positionH relativeFrom="column">
                        <wp:posOffset>-17145</wp:posOffset>
                      </wp:positionH>
                      <wp:positionV relativeFrom="paragraph">
                        <wp:posOffset>67945</wp:posOffset>
                      </wp:positionV>
                      <wp:extent cx="290830" cy="314325"/>
                      <wp:effectExtent l="0" t="0" r="0" b="0"/>
                      <wp:wrapNone/>
                      <wp:docPr id="48" name="文本框 48"/>
                      <wp:cNvGraphicFramePr/>
                      <a:graphic xmlns:a="http://schemas.openxmlformats.org/drawingml/2006/main">
                        <a:graphicData uri="http://schemas.microsoft.com/office/word/2010/wordprocessingShape">
                          <wps:wsp>
                            <wps:cNvSpPr txBox="1"/>
                            <wps:spPr>
                              <a:xfrm>
                                <a:off x="1135380" y="2837180"/>
                                <a:ext cx="290830" cy="3143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BB4ED">
                                  <w:r>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pt;margin-top:5.35pt;height:24.75pt;width:22.9pt;z-index:251681792;mso-width-relative:page;mso-height-relative:page;" filled="f" stroked="f" coordsize="21600,21600" o:gfxdata="UEsDBAoAAAAAAIdO4kAAAAAAAAAAAAAAAAAEAAAAZHJzL1BLAwQUAAAACACHTuJAL3fQ4NcAAAAH&#10;AQAADwAAAGRycy9kb3ducmV2LnhtbE2OS0/DMBCE70j8B2uRuLV2ApQqxKlQpAoJwaGlF26beJtE&#10;+BFi9wG/nuUEp9HOjGa/cnV2VhxpikPwGrK5AkG+DWbwnYbd23q2BBETeoM2eNLwRRFW1eVFiYUJ&#10;J7+h4zZ1gkd8LFBDn9JYSBnbnhzGeRjJc7YPk8PE59RJM+GJx52VuVIL6XDw/KHHkeqe2o/twWl4&#10;rtevuGlyt/y29dPL/nH83L3faX19lakHEInO6a8Mv/iMDhUzNeHgTRRWwyy/5yb7ipXz25sMRKNh&#10;oXKQVSn/81c/UEsDBBQAAAAIAIdO4kBbtQq1RgIAAHMEAAAOAAAAZHJzL2Uyb0RvYy54bWytVEtu&#10;2zAQ3RfoHQjuG1mWnTiG5cBNkKJA0ARIi65piooE8FeSjpQeoL1BV91033PlHH2k/AnSLrLohh5y&#10;nt7MvJnx4qxXktwL51ujS5ofjSgRmpuq1Xcl/fTx8s2MEh+Yrpg0WpT0QXh6tnz9atHZuRibxshK&#10;OAIS7eedLWkTgp1nmeeNUMwfGSs0nLVxigVc3V1WOdaBXclsPBodZ51xlXWGC+/xejE46ZbRvYTQ&#10;1HXLxYXhGyV0GFidkCygJN+01tNlyrauBQ/Xde1FILKkqDSkE0Fgr+OZLRdsfueYbVq+TYG9JIVn&#10;NSnWagTdU12wwMjGtX9RqZY7400djrhR2VBIUgRV5KNn2tw2zIpUC6T2di+6/3+0/MP9jSNtVdIJ&#10;+q6ZQscff3x//Pn78dc3gjcI1Fk/B+7WAhn6t6bH2OzePR5j3X3tVPxFRST682JazCDyQ0nHs+Ik&#10;h52kFn0gHIDx6WhWwM8BKPJJMZ5Gf3Ygss6Hd8IoEo2SOnQyCczur3wYoDtIjKvNZStlCiE16Up6&#10;XExH6YO9B+RSI0YsZ0g7WqFf9/gsmmtTPaBEZ4Yp8ZZftgh+xXy4YQ5jgXyxOOEaRy0NgpitRUlj&#10;3Nd/vUc8ugUvJR3GrKT+y4Y5QYl8r9HH03wyAW1Il8n0ZIyLe+pZP/XojTo3mOQcK2p5MiM+yJ1Z&#10;O6M+Y79WMSpcTHPELmnYmedhGH7sJxerVQJhEi0LV/rW8kg9yLnaBFO3SemDNlv1MIupV9u9icP+&#10;9J5Qh/+K5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vd9Dg1wAAAAcBAAAPAAAAAAAAAAEAIAAA&#10;ACIAAABkcnMvZG93bnJldi54bWxQSwECFAAUAAAACACHTuJAW7UKtUYCAABzBAAADgAAAAAAAAAB&#10;ACAAAAAmAQAAZHJzL2Uyb0RvYy54bWxQSwUGAAAAAAYABgBZAQAA3gUAAAAA&#10;">
                      <v:fill on="f" focussize="0,0"/>
                      <v:stroke on="f" weight="0.5pt"/>
                      <v:imagedata o:title=""/>
                      <o:lock v:ext="edit" aspectratio="f"/>
                      <v:textbox>
                        <w:txbxContent>
                          <w:p w14:paraId="627BB4ED">
                            <w:r>
                              <w:rPr>
                                <w:rFonts w:hint="eastAsia"/>
                              </w:rPr>
                              <w:t>A</w:t>
                            </w:r>
                          </w:p>
                        </w:txbxContent>
                      </v:textbox>
                    </v:shape>
                  </w:pict>
                </mc:Fallback>
              </mc:AlternateContent>
            </w:r>
            <w:r>
              <w:rPr>
                <w:rFonts w:hint="eastAsia" w:ascii="Times New Roman" w:hAnsi="Times New Roman" w:cs="Times New Roman"/>
                <w:sz w:val="24"/>
              </w:rPr>
              <w:drawing>
                <wp:inline distT="0" distB="0" distL="114300" distR="114300">
                  <wp:extent cx="2564765" cy="1532255"/>
                  <wp:effectExtent l="0" t="0" r="635" b="4445"/>
                  <wp:docPr id="45" name="图片 45" descr="可溶性蛋白含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可溶性蛋白含量"/>
                          <pic:cNvPicPr>
                            <a:picLocks noChangeAspect="1"/>
                          </pic:cNvPicPr>
                        </pic:nvPicPr>
                        <pic:blipFill>
                          <a:blip r:embed="rId32"/>
                          <a:stretch>
                            <a:fillRect/>
                          </a:stretch>
                        </pic:blipFill>
                        <pic:spPr>
                          <a:xfrm>
                            <a:off x="0" y="0"/>
                            <a:ext cx="2564765" cy="1532255"/>
                          </a:xfrm>
                          <a:prstGeom prst="rect">
                            <a:avLst/>
                          </a:prstGeom>
                        </pic:spPr>
                      </pic:pic>
                    </a:graphicData>
                  </a:graphic>
                </wp:inline>
              </w:drawing>
            </w:r>
          </w:p>
        </w:tc>
        <w:tc>
          <w:tcPr>
            <w:tcW w:w="4261" w:type="dxa"/>
          </w:tcPr>
          <w:p w14:paraId="0C8D2F4F">
            <w:pPr>
              <w:spacing w:line="400" w:lineRule="exact"/>
              <w:rPr>
                <w:rFonts w:ascii="Times New Roman" w:hAnsi="Times New Roman" w:cs="Times New Roman"/>
                <w:sz w:val="24"/>
              </w:rPr>
            </w:pPr>
            <w:r>
              <mc:AlternateContent>
                <mc:Choice Requires="wps">
                  <w:drawing>
                    <wp:anchor distT="0" distB="0" distL="114300" distR="114300" simplePos="0" relativeHeight="251682816" behindDoc="0" locked="0" layoutInCell="1" allowOverlap="1">
                      <wp:simplePos x="0" y="0"/>
                      <wp:positionH relativeFrom="column">
                        <wp:posOffset>53340</wp:posOffset>
                      </wp:positionH>
                      <wp:positionV relativeFrom="paragraph">
                        <wp:posOffset>81280</wp:posOffset>
                      </wp:positionV>
                      <wp:extent cx="338455" cy="276860"/>
                      <wp:effectExtent l="0" t="0" r="0" b="0"/>
                      <wp:wrapNone/>
                      <wp:docPr id="49" name="文本框 49"/>
                      <wp:cNvGraphicFramePr/>
                      <a:graphic xmlns:a="http://schemas.openxmlformats.org/drawingml/2006/main">
                        <a:graphicData uri="http://schemas.microsoft.com/office/word/2010/wordprocessingShape">
                          <wps:wsp>
                            <wps:cNvSpPr txBox="1"/>
                            <wps:spPr>
                              <a:xfrm>
                                <a:off x="4006215" y="2877820"/>
                                <a:ext cx="338455" cy="2768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86E58">
                                  <w:r>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pt;margin-top:6.4pt;height:21.8pt;width:26.65pt;z-index:251682816;mso-width-relative:page;mso-height-relative:page;" filled="f" stroked="f" coordsize="21600,21600" o:gfxdata="UEsDBAoAAAAAAIdO4kAAAAAAAAAAAAAAAAAEAAAAZHJzL1BLAwQUAAAACACHTuJArckPqdcAAAAG&#10;AQAADwAAAGRycy9kb3ducmV2LnhtbE2PO0/DQBCEeyT+w2mR6MjZVmIs43OELEVICIqENHRr38a2&#10;uIfxXR7w61kqKGdnNPNttb5YI040h9E7BekiAUGu83p0vYL92+auABEiOo3GO1LwRQHW9fVVhaX2&#10;Z7el0y72gktcKFHBEONUShm6gSyGhZ/IsXfws8XIcu6lnvHM5dbILElyaXF0vDDgRM1A3cfuaBU8&#10;N5tX3LaZLb5N8/RyeJw+9+8rpW5v0uQBRKRL/AvDLz6jQ81MrT86HYRRUCw5yOeMH2A7T+9BtApW&#10;+RJkXcn/+PUPUEsDBBQAAAAIAIdO4kBOxbTGSAIAAHMEAAAOAAAAZHJzL2Uyb0RvYy54bWytVM2O&#10;0zAQviPxDpbvNP1vt2q6KlsVIa3YlQri7DpOE8n2GNttUh4A3oATF+48V5+DsZN2q4XDHrg4Y894&#10;xt8332R+WytJDsK6EnRKe50uJUJzyEq9S+mnj+s3U0qcZzpjErRI6VE4ert4/WpemZnoQwEyE5Zg&#10;Eu1mlUlp4b2ZJYnjhVDMdcAIjc4crGIet3aXZJZVmF3JpN/tjpMKbGYscOEcnq4aJ20z2pckhDwv&#10;uVgB3yuhfZPVCsk8QnJFaRxdxNfmueD+Ic+d8ESmFJH6uGIRtLdhTRZzNttZZoqSt09gL3nCM0yK&#10;lRqLXlKtmGdkb8u/UqmSW3CQ+w4HlTRAIiOIotd9xs2mYEZELEi1MxfS3f9Lyz8cHi0ps5QObyjR&#10;TGHHTz++n37+Pv36RvAMCaqMm2HcxmCkr99CjbI5nzs8DLjr3KrwRUQE/UNsdL83ouSY0v50Mpn2&#10;W6pF7QnHgMFgOhyhn4eAyXg6jv7kKZGxzr8ToEgwUmqxk5Fgdrh3Hh+FoeeQUFfDupQydlNqUqV0&#10;PBh144WLB29IjRcDnObZwfL1tm4xbiE7IkQLjUqc4esSi98z5x+ZRVmgaHBw/AMuuQQsAq1FSQH2&#10;67/OQzx2C72UVCizlLove2YFJfK9xj7e9IbDoMu4GY4myBOx157ttUfv1R2gkns4ooZHM8R7eTZz&#10;C+ozztcyVEUX0xxrp9SfzTvfiB/nk4vlMgahEg3z93pjeEjd0Lnce8jLyHSgqeGmZQ+1GBvQzk0Q&#10;+/U+Rj39Kx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3JD6nXAAAABgEAAA8AAAAAAAAAAQAg&#10;AAAAIgAAAGRycy9kb3ducmV2LnhtbFBLAQIUABQAAAAIAIdO4kBOxbTGSAIAAHMEAAAOAAAAAAAA&#10;AAEAIAAAACYBAABkcnMvZTJvRG9jLnhtbFBLBQYAAAAABgAGAFkBAADgBQAAAAA=&#10;">
                      <v:fill on="f" focussize="0,0"/>
                      <v:stroke on="f" weight="0.5pt"/>
                      <v:imagedata o:title=""/>
                      <o:lock v:ext="edit" aspectratio="f"/>
                      <v:textbox>
                        <w:txbxContent>
                          <w:p w14:paraId="3A586E58">
                            <w:r>
                              <w:rPr>
                                <w:rFonts w:hint="eastAsia"/>
                              </w:rPr>
                              <w:t>B</w:t>
                            </w:r>
                          </w:p>
                        </w:txbxContent>
                      </v:textbox>
                    </v:shape>
                  </w:pict>
                </mc:Fallback>
              </mc:AlternateContent>
            </w:r>
            <w:r>
              <w:rPr>
                <w:rFonts w:ascii="Times New Roman" w:hAnsi="Times New Roman" w:cs="Times New Roman"/>
              </w:rPr>
              <w:drawing>
                <wp:anchor distT="0" distB="0" distL="114300" distR="114300" simplePos="0" relativeHeight="251680768" behindDoc="0" locked="0" layoutInCell="1" allowOverlap="1">
                  <wp:simplePos x="0" y="0"/>
                  <wp:positionH relativeFrom="column">
                    <wp:posOffset>13335</wp:posOffset>
                  </wp:positionH>
                  <wp:positionV relativeFrom="paragraph">
                    <wp:posOffset>90170</wp:posOffset>
                  </wp:positionV>
                  <wp:extent cx="2426335" cy="1447800"/>
                  <wp:effectExtent l="0" t="0" r="12065" b="0"/>
                  <wp:wrapSquare wrapText="bothSides"/>
                  <wp:docPr id="41" name="图片 41" descr="M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MDA"/>
                          <pic:cNvPicPr>
                            <a:picLocks noChangeAspect="1"/>
                          </pic:cNvPicPr>
                        </pic:nvPicPr>
                        <pic:blipFill>
                          <a:blip r:embed="rId33"/>
                          <a:stretch>
                            <a:fillRect/>
                          </a:stretch>
                        </pic:blipFill>
                        <pic:spPr>
                          <a:xfrm>
                            <a:off x="0" y="0"/>
                            <a:ext cx="2426335" cy="1447800"/>
                          </a:xfrm>
                          <a:prstGeom prst="rect">
                            <a:avLst/>
                          </a:prstGeom>
                        </pic:spPr>
                      </pic:pic>
                    </a:graphicData>
                  </a:graphic>
                </wp:anchor>
              </w:drawing>
            </w:r>
          </w:p>
        </w:tc>
      </w:tr>
    </w:tbl>
    <w:p w14:paraId="32AC708A">
      <w:pPr>
        <w:snapToGrid w:val="0"/>
        <w:jc w:val="center"/>
        <w:rPr>
          <w:rFonts w:hint="eastAsia" w:ascii="黑体" w:hAnsi="黑体" w:eastAsia="黑体" w:cs="黑体"/>
          <w:szCs w:val="21"/>
        </w:rPr>
      </w:pPr>
      <w:r>
        <w:rPr>
          <w:rFonts w:hint="eastAsia" w:ascii="黑体" w:hAnsi="黑体" w:eastAsia="黑体" w:cs="黑体"/>
          <w:szCs w:val="21"/>
        </w:rPr>
        <w:t>图</w:t>
      </w:r>
      <w:r>
        <w:rPr>
          <w:rFonts w:hint="eastAsia" w:ascii="黑体" w:hAnsi="黑体" w:eastAsia="黑体" w:cs="黑体"/>
          <w:szCs w:val="21"/>
          <w:lang w:val="en-US" w:eastAsia="zh-CN"/>
        </w:rPr>
        <w:t>11</w:t>
      </w:r>
      <w:r>
        <w:rPr>
          <w:rFonts w:hint="eastAsia" w:ascii="黑体" w:hAnsi="黑体" w:eastAsia="黑体" w:cs="黑体"/>
          <w:szCs w:val="21"/>
        </w:rPr>
        <w:t xml:space="preserve"> 不同温度处理下WS1和WS3叶片可溶性蛋白（A）及MDA（B）含量的变化</w:t>
      </w:r>
    </w:p>
    <w:p w14:paraId="0BE941A3">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主成分分析</w:t>
      </w:r>
    </w:p>
    <w:p w14:paraId="2164AC75">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由表7可知，WS1和WS3的13个农艺性状及生理生化指标被归为4个主成分，其累计贡献率分别为87.646%和85.039%。在第1主成分中，WS1和WS3的贡献率分别为34.224%和30.226%，其中株高、CAT活性、MDA含量及SOD活性的特征向量值均大于0.7，表明这些与产量和抗逆性相关的指标在第一主成分中起主要作用。第2主成分的特征值分别为3.065（WS1）和3.431（WS3），贡献率分别为23.578%和26.396%，该成分中特征向量较高的指标为叶柄宽和根鲜重。第3主成分的特征值分别为2.642和1.970，贡献率分别为20.325%和15.153%，主要代表性性状为叶鲜重，其特征向量值为0.898。第4主成分的特征值分别为1.238和1.724，贡献率分别为9.520%和13.264%，其中特征向量值较大的性状为可溶性蛋白含量，其值为0.629。</w:t>
      </w:r>
    </w:p>
    <w:p w14:paraId="4348E9C0">
      <w:pPr>
        <w:spacing w:line="400" w:lineRule="exact"/>
        <w:ind w:firstLine="480" w:firstLineChars="200"/>
        <w:rPr>
          <w:rFonts w:ascii="Times New Roman" w:hAnsi="Times New Roman" w:cs="Times New Roman"/>
          <w:sz w:val="24"/>
        </w:rPr>
      </w:pPr>
    </w:p>
    <w:p w14:paraId="2397E4E4">
      <w:pPr>
        <w:snapToGrid w:val="0"/>
        <w:jc w:val="center"/>
        <w:rPr>
          <w:rFonts w:hint="eastAsia" w:ascii="黑体" w:hAnsi="黑体" w:eastAsia="黑体" w:cs="黑体"/>
          <w:szCs w:val="21"/>
        </w:rPr>
      </w:pPr>
    </w:p>
    <w:p w14:paraId="6F122EAF">
      <w:pPr>
        <w:snapToGrid w:val="0"/>
        <w:jc w:val="center"/>
        <w:rPr>
          <w:rFonts w:hint="eastAsia" w:ascii="黑体" w:hAnsi="黑体" w:eastAsia="黑体" w:cs="黑体"/>
          <w:szCs w:val="21"/>
        </w:rPr>
      </w:pPr>
      <w:r>
        <w:rPr>
          <w:rFonts w:hint="eastAsia" w:ascii="黑体" w:hAnsi="黑体" w:eastAsia="黑体" w:cs="黑体"/>
          <w:szCs w:val="21"/>
        </w:rPr>
        <w:t>表</w:t>
      </w:r>
      <w:r>
        <w:rPr>
          <w:rFonts w:hint="eastAsia" w:ascii="黑体" w:hAnsi="黑体" w:eastAsia="黑体" w:cs="黑体"/>
          <w:szCs w:val="21"/>
          <w:lang w:val="en-US" w:eastAsia="zh-CN"/>
        </w:rPr>
        <w:t>7</w:t>
      </w:r>
      <w:r>
        <w:rPr>
          <w:rFonts w:hint="eastAsia" w:ascii="黑体" w:hAnsi="黑体" w:eastAsia="黑体" w:cs="黑体"/>
          <w:szCs w:val="21"/>
        </w:rPr>
        <w:t xml:space="preserve"> 主成分分析结果</w:t>
      </w:r>
    </w:p>
    <w:tbl>
      <w:tblPr>
        <w:tblStyle w:val="4"/>
        <w:tblW w:w="9314"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4"/>
        <w:gridCol w:w="972"/>
        <w:gridCol w:w="1436"/>
        <w:gridCol w:w="1846"/>
        <w:gridCol w:w="972"/>
        <w:gridCol w:w="1436"/>
        <w:gridCol w:w="1848"/>
      </w:tblGrid>
      <w:tr w14:paraId="75C0F6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04" w:type="dxa"/>
            <w:vMerge w:val="restart"/>
            <w:shd w:val="clear" w:color="auto" w:fill="auto"/>
            <w:vAlign w:val="center"/>
          </w:tcPr>
          <w:p w14:paraId="7148A06C">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主成分</w:t>
            </w:r>
          </w:p>
        </w:tc>
        <w:tc>
          <w:tcPr>
            <w:tcW w:w="4254" w:type="dxa"/>
            <w:gridSpan w:val="3"/>
            <w:tcBorders>
              <w:bottom w:val="single" w:color="auto" w:sz="4" w:space="0"/>
            </w:tcBorders>
            <w:shd w:val="clear" w:color="auto" w:fill="auto"/>
            <w:vAlign w:val="center"/>
          </w:tcPr>
          <w:p w14:paraId="03C7F89D">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sz w:val="21"/>
                <w:szCs w:val="21"/>
              </w:rPr>
              <w:t>WS1</w:t>
            </w:r>
          </w:p>
        </w:tc>
        <w:tc>
          <w:tcPr>
            <w:tcW w:w="4256" w:type="dxa"/>
            <w:gridSpan w:val="3"/>
            <w:tcBorders>
              <w:bottom w:val="single" w:color="auto" w:sz="4" w:space="0"/>
            </w:tcBorders>
            <w:shd w:val="clear" w:color="auto" w:fill="auto"/>
            <w:vAlign w:val="center"/>
          </w:tcPr>
          <w:p w14:paraId="1B5C3700">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sz w:val="21"/>
                <w:szCs w:val="21"/>
              </w:rPr>
              <w:t>WS3</w:t>
            </w:r>
          </w:p>
        </w:tc>
      </w:tr>
      <w:tr w14:paraId="35F04C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04" w:type="dxa"/>
            <w:vMerge w:val="continue"/>
            <w:shd w:val="clear" w:color="auto" w:fill="auto"/>
            <w:vAlign w:val="center"/>
          </w:tcPr>
          <w:p w14:paraId="367CCCD9">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p>
        </w:tc>
        <w:tc>
          <w:tcPr>
            <w:tcW w:w="972" w:type="dxa"/>
            <w:tcBorders>
              <w:top w:val="single" w:color="auto" w:sz="4" w:space="0"/>
              <w:bottom w:val="single" w:color="auto" w:sz="4" w:space="0"/>
            </w:tcBorders>
            <w:shd w:val="clear" w:color="auto" w:fill="auto"/>
            <w:vAlign w:val="center"/>
          </w:tcPr>
          <w:p w14:paraId="1A475887">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特征值</w:t>
            </w:r>
          </w:p>
        </w:tc>
        <w:tc>
          <w:tcPr>
            <w:tcW w:w="1436" w:type="dxa"/>
            <w:tcBorders>
              <w:top w:val="single" w:color="auto" w:sz="4" w:space="0"/>
              <w:bottom w:val="single" w:color="auto" w:sz="4" w:space="0"/>
            </w:tcBorders>
            <w:shd w:val="clear" w:color="auto" w:fill="auto"/>
            <w:vAlign w:val="center"/>
          </w:tcPr>
          <w:p w14:paraId="03A43C26">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贡献率（%）</w:t>
            </w:r>
          </w:p>
        </w:tc>
        <w:tc>
          <w:tcPr>
            <w:tcW w:w="1846" w:type="dxa"/>
            <w:tcBorders>
              <w:top w:val="single" w:color="auto" w:sz="4" w:space="0"/>
              <w:bottom w:val="single" w:color="auto" w:sz="4" w:space="0"/>
            </w:tcBorders>
            <w:shd w:val="clear" w:color="auto" w:fill="auto"/>
            <w:vAlign w:val="center"/>
          </w:tcPr>
          <w:p w14:paraId="16C3A26B">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累积贡献率（%）</w:t>
            </w:r>
          </w:p>
        </w:tc>
        <w:tc>
          <w:tcPr>
            <w:tcW w:w="972" w:type="dxa"/>
            <w:tcBorders>
              <w:top w:val="single" w:color="auto" w:sz="4" w:space="0"/>
              <w:bottom w:val="single" w:color="auto" w:sz="4" w:space="0"/>
            </w:tcBorders>
            <w:shd w:val="clear" w:color="auto" w:fill="auto"/>
            <w:vAlign w:val="center"/>
          </w:tcPr>
          <w:p w14:paraId="3C437314">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特征值</w:t>
            </w:r>
          </w:p>
        </w:tc>
        <w:tc>
          <w:tcPr>
            <w:tcW w:w="1436" w:type="dxa"/>
            <w:tcBorders>
              <w:top w:val="single" w:color="auto" w:sz="4" w:space="0"/>
              <w:bottom w:val="single" w:color="auto" w:sz="4" w:space="0"/>
            </w:tcBorders>
            <w:shd w:val="clear" w:color="auto" w:fill="auto"/>
            <w:vAlign w:val="center"/>
          </w:tcPr>
          <w:p w14:paraId="05260310">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贡献率（%）</w:t>
            </w:r>
          </w:p>
        </w:tc>
        <w:tc>
          <w:tcPr>
            <w:tcW w:w="1848" w:type="dxa"/>
            <w:tcBorders>
              <w:top w:val="single" w:color="auto" w:sz="4" w:space="0"/>
              <w:bottom w:val="single" w:color="auto" w:sz="4" w:space="0"/>
            </w:tcBorders>
            <w:shd w:val="clear" w:color="auto" w:fill="auto"/>
            <w:vAlign w:val="center"/>
          </w:tcPr>
          <w:p w14:paraId="7E40B4A5">
            <w:pPr>
              <w:widowControl/>
              <w:snapToGrid w:val="0"/>
              <w:jc w:val="center"/>
              <w:textAlignment w:val="center"/>
              <w:rPr>
                <w:rFonts w:hint="eastAsia" w:eastAsia="宋体" w:asciiTheme="minorEastAsia" w:hAnsiTheme="minorEastAsia" w:cstheme="minorEastAsia"/>
                <w:b w:val="0"/>
                <w:bCs/>
                <w:color w:val="000000"/>
                <w:kern w:val="2"/>
                <w:sz w:val="21"/>
                <w:szCs w:val="21"/>
                <w:lang w:val="en-US" w:eastAsia="zh-CN" w:bidi="ar-SA"/>
              </w:rPr>
            </w:pPr>
            <w:r>
              <w:rPr>
                <w:rFonts w:hint="eastAsia" w:asciiTheme="minorEastAsia" w:hAnsiTheme="minorEastAsia" w:cstheme="minorEastAsia"/>
                <w:b w:val="0"/>
                <w:bCs/>
                <w:color w:val="000000"/>
                <w:kern w:val="0"/>
                <w:sz w:val="21"/>
                <w:szCs w:val="21"/>
                <w:lang w:bidi="ar"/>
              </w:rPr>
              <w:t>累积贡献率（%）</w:t>
            </w:r>
          </w:p>
        </w:tc>
      </w:tr>
      <w:tr w14:paraId="5CBE4C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04" w:type="dxa"/>
            <w:shd w:val="clear" w:color="auto" w:fill="auto"/>
            <w:vAlign w:val="center"/>
          </w:tcPr>
          <w:p w14:paraId="63AAE2A5">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1</w:t>
            </w:r>
          </w:p>
        </w:tc>
        <w:tc>
          <w:tcPr>
            <w:tcW w:w="972" w:type="dxa"/>
            <w:tcBorders>
              <w:top w:val="single" w:color="auto" w:sz="4" w:space="0"/>
            </w:tcBorders>
            <w:shd w:val="clear" w:color="auto" w:fill="auto"/>
            <w:vAlign w:val="center"/>
          </w:tcPr>
          <w:p w14:paraId="7E1D0CD3">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4.449</w:t>
            </w:r>
          </w:p>
        </w:tc>
        <w:tc>
          <w:tcPr>
            <w:tcW w:w="1436" w:type="dxa"/>
            <w:tcBorders>
              <w:top w:val="single" w:color="auto" w:sz="4" w:space="0"/>
            </w:tcBorders>
            <w:shd w:val="clear" w:color="auto" w:fill="auto"/>
            <w:vAlign w:val="center"/>
          </w:tcPr>
          <w:p w14:paraId="357B05B2">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34.224</w:t>
            </w:r>
          </w:p>
        </w:tc>
        <w:tc>
          <w:tcPr>
            <w:tcW w:w="1846" w:type="dxa"/>
            <w:tcBorders>
              <w:top w:val="single" w:color="auto" w:sz="4" w:space="0"/>
            </w:tcBorders>
            <w:shd w:val="clear" w:color="auto" w:fill="auto"/>
            <w:vAlign w:val="center"/>
          </w:tcPr>
          <w:p w14:paraId="4FE80455">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34.224</w:t>
            </w:r>
          </w:p>
        </w:tc>
        <w:tc>
          <w:tcPr>
            <w:tcW w:w="972" w:type="dxa"/>
            <w:tcBorders>
              <w:top w:val="single" w:color="auto" w:sz="4" w:space="0"/>
            </w:tcBorders>
            <w:shd w:val="clear" w:color="auto" w:fill="auto"/>
            <w:vAlign w:val="center"/>
          </w:tcPr>
          <w:p w14:paraId="6E4C56FF">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3.929</w:t>
            </w:r>
          </w:p>
        </w:tc>
        <w:tc>
          <w:tcPr>
            <w:tcW w:w="1436" w:type="dxa"/>
            <w:tcBorders>
              <w:top w:val="single" w:color="auto" w:sz="4" w:space="0"/>
            </w:tcBorders>
            <w:shd w:val="clear" w:color="auto" w:fill="auto"/>
            <w:vAlign w:val="center"/>
          </w:tcPr>
          <w:p w14:paraId="375FBD7E">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30.226</w:t>
            </w:r>
          </w:p>
        </w:tc>
        <w:tc>
          <w:tcPr>
            <w:tcW w:w="1848" w:type="dxa"/>
            <w:tcBorders>
              <w:top w:val="single" w:color="auto" w:sz="4" w:space="0"/>
            </w:tcBorders>
            <w:shd w:val="clear" w:color="auto" w:fill="auto"/>
            <w:vAlign w:val="center"/>
          </w:tcPr>
          <w:p w14:paraId="2202F0B0">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30.226</w:t>
            </w:r>
          </w:p>
        </w:tc>
      </w:tr>
      <w:tr w14:paraId="731C8F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04" w:type="dxa"/>
            <w:shd w:val="clear" w:color="auto" w:fill="auto"/>
            <w:vAlign w:val="center"/>
          </w:tcPr>
          <w:p w14:paraId="6CAE8E95">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2</w:t>
            </w:r>
          </w:p>
        </w:tc>
        <w:tc>
          <w:tcPr>
            <w:tcW w:w="972" w:type="dxa"/>
            <w:shd w:val="clear" w:color="auto" w:fill="auto"/>
            <w:vAlign w:val="center"/>
          </w:tcPr>
          <w:p w14:paraId="17E41C9C">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3.065</w:t>
            </w:r>
          </w:p>
        </w:tc>
        <w:tc>
          <w:tcPr>
            <w:tcW w:w="1436" w:type="dxa"/>
            <w:shd w:val="clear" w:color="auto" w:fill="auto"/>
            <w:vAlign w:val="center"/>
          </w:tcPr>
          <w:p w14:paraId="7945EE22">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23.578</w:t>
            </w:r>
          </w:p>
        </w:tc>
        <w:tc>
          <w:tcPr>
            <w:tcW w:w="1846" w:type="dxa"/>
            <w:shd w:val="clear" w:color="auto" w:fill="auto"/>
            <w:vAlign w:val="center"/>
          </w:tcPr>
          <w:p w14:paraId="5BFCBA19">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57.802</w:t>
            </w:r>
          </w:p>
        </w:tc>
        <w:tc>
          <w:tcPr>
            <w:tcW w:w="972" w:type="dxa"/>
            <w:shd w:val="clear" w:color="auto" w:fill="auto"/>
            <w:vAlign w:val="center"/>
          </w:tcPr>
          <w:p w14:paraId="7A85FAD9">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3.431</w:t>
            </w:r>
          </w:p>
        </w:tc>
        <w:tc>
          <w:tcPr>
            <w:tcW w:w="1436" w:type="dxa"/>
            <w:shd w:val="clear" w:color="auto" w:fill="auto"/>
            <w:vAlign w:val="center"/>
          </w:tcPr>
          <w:p w14:paraId="13539995">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26.396</w:t>
            </w:r>
          </w:p>
        </w:tc>
        <w:tc>
          <w:tcPr>
            <w:tcW w:w="1848" w:type="dxa"/>
            <w:shd w:val="clear" w:color="auto" w:fill="auto"/>
            <w:vAlign w:val="center"/>
          </w:tcPr>
          <w:p w14:paraId="26ED1591">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56.622</w:t>
            </w:r>
          </w:p>
        </w:tc>
      </w:tr>
      <w:tr w14:paraId="310FB1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04" w:type="dxa"/>
            <w:shd w:val="clear" w:color="auto" w:fill="auto"/>
            <w:vAlign w:val="center"/>
          </w:tcPr>
          <w:p w14:paraId="3A932E5D">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3</w:t>
            </w:r>
          </w:p>
        </w:tc>
        <w:tc>
          <w:tcPr>
            <w:tcW w:w="972" w:type="dxa"/>
            <w:shd w:val="clear" w:color="auto" w:fill="auto"/>
            <w:vAlign w:val="center"/>
          </w:tcPr>
          <w:p w14:paraId="0B2F5EFB">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2.642</w:t>
            </w:r>
          </w:p>
        </w:tc>
        <w:tc>
          <w:tcPr>
            <w:tcW w:w="1436" w:type="dxa"/>
            <w:shd w:val="clear" w:color="auto" w:fill="auto"/>
            <w:vAlign w:val="center"/>
          </w:tcPr>
          <w:p w14:paraId="2287CF1D">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20.325</w:t>
            </w:r>
          </w:p>
        </w:tc>
        <w:tc>
          <w:tcPr>
            <w:tcW w:w="1846" w:type="dxa"/>
            <w:shd w:val="clear" w:color="auto" w:fill="auto"/>
            <w:vAlign w:val="center"/>
          </w:tcPr>
          <w:p w14:paraId="456D8288">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78.127</w:t>
            </w:r>
          </w:p>
        </w:tc>
        <w:tc>
          <w:tcPr>
            <w:tcW w:w="972" w:type="dxa"/>
            <w:shd w:val="clear" w:color="auto" w:fill="auto"/>
            <w:vAlign w:val="center"/>
          </w:tcPr>
          <w:p w14:paraId="25F1E0E7">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1.97</w:t>
            </w:r>
          </w:p>
        </w:tc>
        <w:tc>
          <w:tcPr>
            <w:tcW w:w="1436" w:type="dxa"/>
            <w:shd w:val="clear" w:color="auto" w:fill="auto"/>
            <w:vAlign w:val="center"/>
          </w:tcPr>
          <w:p w14:paraId="278F0479">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15.153</w:t>
            </w:r>
          </w:p>
        </w:tc>
        <w:tc>
          <w:tcPr>
            <w:tcW w:w="1848" w:type="dxa"/>
            <w:shd w:val="clear" w:color="auto" w:fill="auto"/>
            <w:vAlign w:val="center"/>
          </w:tcPr>
          <w:p w14:paraId="25A4D502">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71.775</w:t>
            </w:r>
          </w:p>
        </w:tc>
      </w:tr>
      <w:tr w14:paraId="7F3E63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04" w:type="dxa"/>
            <w:shd w:val="clear" w:color="auto" w:fill="auto"/>
            <w:vAlign w:val="center"/>
          </w:tcPr>
          <w:p w14:paraId="68002197">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4</w:t>
            </w:r>
          </w:p>
        </w:tc>
        <w:tc>
          <w:tcPr>
            <w:tcW w:w="972" w:type="dxa"/>
            <w:shd w:val="clear" w:color="auto" w:fill="auto"/>
            <w:vAlign w:val="center"/>
          </w:tcPr>
          <w:p w14:paraId="02E29AB8">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1.238</w:t>
            </w:r>
          </w:p>
        </w:tc>
        <w:tc>
          <w:tcPr>
            <w:tcW w:w="1436" w:type="dxa"/>
            <w:shd w:val="clear" w:color="auto" w:fill="auto"/>
            <w:vAlign w:val="center"/>
          </w:tcPr>
          <w:p w14:paraId="6A5CB024">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9.52</w:t>
            </w:r>
          </w:p>
        </w:tc>
        <w:tc>
          <w:tcPr>
            <w:tcW w:w="1846" w:type="dxa"/>
            <w:shd w:val="clear" w:color="auto" w:fill="auto"/>
            <w:vAlign w:val="center"/>
          </w:tcPr>
          <w:p w14:paraId="381BE9A1">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87.646</w:t>
            </w:r>
          </w:p>
        </w:tc>
        <w:tc>
          <w:tcPr>
            <w:tcW w:w="972" w:type="dxa"/>
            <w:shd w:val="clear" w:color="auto" w:fill="auto"/>
            <w:vAlign w:val="center"/>
          </w:tcPr>
          <w:p w14:paraId="357C5157">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1.724</w:t>
            </w:r>
          </w:p>
        </w:tc>
        <w:tc>
          <w:tcPr>
            <w:tcW w:w="1436" w:type="dxa"/>
            <w:shd w:val="clear" w:color="auto" w:fill="auto"/>
            <w:vAlign w:val="center"/>
          </w:tcPr>
          <w:p w14:paraId="5087708F">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13.264</w:t>
            </w:r>
          </w:p>
        </w:tc>
        <w:tc>
          <w:tcPr>
            <w:tcW w:w="1848" w:type="dxa"/>
            <w:shd w:val="clear" w:color="auto" w:fill="auto"/>
            <w:vAlign w:val="center"/>
          </w:tcPr>
          <w:p w14:paraId="3D905E4C">
            <w:pPr>
              <w:widowControl/>
              <w:snapToGrid w:val="0"/>
              <w:jc w:val="center"/>
              <w:textAlignment w:val="center"/>
              <w:rPr>
                <w:rFonts w:hint="eastAsia" w:eastAsia="宋体" w:asciiTheme="minorEastAsia" w:hAnsiTheme="minorEastAsia" w:cstheme="minorEastAsia"/>
                <w:color w:val="000000"/>
                <w:kern w:val="2"/>
                <w:sz w:val="21"/>
                <w:szCs w:val="21"/>
                <w:lang w:val="en-US" w:eastAsia="zh-CN" w:bidi="ar-SA"/>
              </w:rPr>
            </w:pPr>
            <w:r>
              <w:rPr>
                <w:rFonts w:hint="eastAsia" w:asciiTheme="minorEastAsia" w:hAnsiTheme="minorEastAsia" w:cstheme="minorEastAsia"/>
                <w:color w:val="000000"/>
                <w:kern w:val="0"/>
                <w:sz w:val="21"/>
                <w:szCs w:val="21"/>
                <w:lang w:bidi="ar"/>
              </w:rPr>
              <w:t>85.039</w:t>
            </w:r>
          </w:p>
        </w:tc>
      </w:tr>
    </w:tbl>
    <w:p w14:paraId="758AA620">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相关性分析</w:t>
      </w:r>
    </w:p>
    <w:p w14:paraId="2359D430">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相关性分析结果显示（图12），在13个农艺性状及生理生化指标中，共检测到2对极显著相关关系（</w:t>
      </w:r>
      <w:r>
        <w:rPr>
          <w:rStyle w:val="8"/>
          <w:rFonts w:hint="eastAsia" w:eastAsia="方正仿宋_GB2312" w:cstheme="minorBidi"/>
          <w:b w:val="0"/>
          <w:bCs/>
          <w:i/>
          <w:iCs/>
          <w:sz w:val="32"/>
          <w:szCs w:val="32"/>
          <w:lang w:val="en-US" w:eastAsia="zh-CN"/>
        </w:rPr>
        <w:t>P</w:t>
      </w:r>
      <w:r>
        <w:rPr>
          <w:rStyle w:val="8"/>
          <w:rFonts w:hint="eastAsia" w:eastAsia="方正仿宋_GB2312" w:cstheme="minorBidi"/>
          <w:b w:val="0"/>
          <w:bCs/>
          <w:sz w:val="32"/>
          <w:szCs w:val="32"/>
          <w:lang w:val="en-US" w:eastAsia="zh-CN"/>
        </w:rPr>
        <w:t xml:space="preserve"> &lt; 0.01）。其中，WS1中相关性最高的为根鲜重与叶柄厚（0.86），以及可溶性蛋白含量与根长（-0.81）；WS3中相关性最高的为叶长与株高（0.91），以及根鲜重与叶宽（0.80）。这些性状均与产量形成和抗逆能力密切相关。此外，WS1和WS3分别存在7对和5对显著相关关系（</w:t>
      </w:r>
      <w:r>
        <w:rPr>
          <w:rStyle w:val="8"/>
          <w:rFonts w:hint="eastAsia" w:eastAsia="方正仿宋_GB2312" w:cstheme="minorBidi"/>
          <w:b w:val="0"/>
          <w:bCs/>
          <w:i/>
          <w:iCs/>
          <w:sz w:val="32"/>
          <w:szCs w:val="32"/>
          <w:lang w:val="en-US" w:eastAsia="zh-CN"/>
        </w:rPr>
        <w:t>P</w:t>
      </w:r>
      <w:r>
        <w:rPr>
          <w:rStyle w:val="8"/>
          <w:rFonts w:hint="eastAsia" w:eastAsia="方正仿宋_GB2312" w:cstheme="minorBidi"/>
          <w:b w:val="0"/>
          <w:bCs/>
          <w:sz w:val="32"/>
          <w:szCs w:val="32"/>
          <w:lang w:val="en-US" w:eastAsia="zh-CN"/>
        </w:rPr>
        <w:t xml:space="preserve"> &lt; 0.05），其余性状间的相关性均未达到显著水平。</w:t>
      </w:r>
    </w:p>
    <w:p w14:paraId="0B4933A6">
      <w:pPr>
        <w:ind w:firstLine="420"/>
        <w:rPr>
          <w:rFonts w:ascii="Times New Roman" w:hAnsi="Times New Roman"/>
          <w:color w:val="000000"/>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10E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E7714E0">
            <w:pPr>
              <w:rPr>
                <w:rFonts w:ascii="Times New Roman" w:hAnsi="Times New Roman"/>
                <w:color w:val="000000"/>
                <w:sz w:val="24"/>
              </w:rPr>
            </w:pPr>
            <w:r>
              <w:rPr>
                <w:rFonts w:ascii="Times New Roman" w:hAnsi="Times New Roman" w:cs="Times New Roman"/>
              </w:rPr>
              <w:drawing>
                <wp:inline distT="0" distB="0" distL="114300" distR="114300">
                  <wp:extent cx="2192020" cy="1843405"/>
                  <wp:effectExtent l="0" t="0" r="5080" b="10795"/>
                  <wp:docPr id="43" name="图片 43" descr="武一数据热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武一数据热图"/>
                          <pic:cNvPicPr>
                            <a:picLocks noChangeAspect="1"/>
                          </pic:cNvPicPr>
                        </pic:nvPicPr>
                        <pic:blipFill>
                          <a:blip r:embed="rId34"/>
                          <a:srcRect l="3215" t="9107" r="19121" b="5584"/>
                          <a:stretch>
                            <a:fillRect/>
                          </a:stretch>
                        </pic:blipFill>
                        <pic:spPr>
                          <a:xfrm>
                            <a:off x="0" y="0"/>
                            <a:ext cx="2192020" cy="1843405"/>
                          </a:xfrm>
                          <a:prstGeom prst="rect">
                            <a:avLst/>
                          </a:prstGeom>
                        </pic:spPr>
                      </pic:pic>
                    </a:graphicData>
                  </a:graphic>
                </wp:inline>
              </w:drawing>
            </w:r>
          </w:p>
        </w:tc>
        <w:tc>
          <w:tcPr>
            <w:tcW w:w="4261" w:type="dxa"/>
          </w:tcPr>
          <w:p w14:paraId="00A487C8">
            <w:pPr>
              <w:rPr>
                <w:rFonts w:ascii="Times New Roman" w:hAnsi="Times New Roman"/>
                <w:color w:val="000000"/>
                <w:sz w:val="24"/>
              </w:rPr>
            </w:pPr>
            <w:r>
              <w:rPr>
                <w:rFonts w:hint="eastAsia" w:ascii="Times New Roman" w:hAnsi="Times New Roman"/>
                <w:color w:val="000000"/>
                <w:sz w:val="24"/>
              </w:rPr>
              <w:drawing>
                <wp:inline distT="0" distB="0" distL="114300" distR="114300">
                  <wp:extent cx="2382520" cy="1830705"/>
                  <wp:effectExtent l="0" t="0" r="5080" b="10795"/>
                  <wp:docPr id="44" name="图片 44" descr="武一数据热图W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武一数据热图WS3"/>
                          <pic:cNvPicPr>
                            <a:picLocks noChangeAspect="1"/>
                          </pic:cNvPicPr>
                        </pic:nvPicPr>
                        <pic:blipFill>
                          <a:blip r:embed="rId35"/>
                          <a:srcRect l="964" t="6880" r="6256"/>
                          <a:stretch>
                            <a:fillRect/>
                          </a:stretch>
                        </pic:blipFill>
                        <pic:spPr>
                          <a:xfrm>
                            <a:off x="0" y="0"/>
                            <a:ext cx="2382520" cy="1830705"/>
                          </a:xfrm>
                          <a:prstGeom prst="rect">
                            <a:avLst/>
                          </a:prstGeom>
                        </pic:spPr>
                      </pic:pic>
                    </a:graphicData>
                  </a:graphic>
                </wp:inline>
              </w:drawing>
            </w:r>
          </w:p>
        </w:tc>
      </w:tr>
    </w:tbl>
    <w:p w14:paraId="72F0F0A0">
      <w:pPr>
        <w:jc w:val="center"/>
        <w:rPr>
          <w:rFonts w:hint="eastAsia" w:ascii="黑体" w:hAnsi="黑体" w:eastAsia="黑体" w:cs="黑体"/>
          <w:szCs w:val="21"/>
        </w:rPr>
      </w:pPr>
      <w:r>
        <w:rPr>
          <w:rFonts w:hint="eastAsia" w:ascii="黑体" w:hAnsi="黑体" w:eastAsia="黑体" w:cs="黑体"/>
          <w:szCs w:val="21"/>
        </w:rPr>
        <w:t>图</w:t>
      </w:r>
      <w:r>
        <w:rPr>
          <w:rFonts w:hint="eastAsia" w:ascii="黑体" w:hAnsi="黑体" w:eastAsia="黑体" w:cs="黑体"/>
          <w:szCs w:val="21"/>
          <w:lang w:val="en-US" w:eastAsia="zh-CN"/>
        </w:rPr>
        <w:t>12</w:t>
      </w:r>
      <w:r>
        <w:rPr>
          <w:rFonts w:hint="eastAsia" w:ascii="黑体" w:hAnsi="黑体" w:eastAsia="黑体" w:cs="黑体"/>
          <w:szCs w:val="21"/>
        </w:rPr>
        <w:t xml:space="preserve"> 数量性状相关性分析</w:t>
      </w:r>
    </w:p>
    <w:p w14:paraId="58459630">
      <w:pPr>
        <w:numPr>
          <w:ilvl w:val="0"/>
          <w:numId w:val="0"/>
        </w:numPr>
        <w:spacing w:before="156" w:beforeLines="50" w:after="156" w:afterLines="50"/>
        <w:outlineLvl w:val="2"/>
        <w:rPr>
          <w:rStyle w:val="8"/>
          <w:rFonts w:hint="default" w:eastAsia="方正仿宋_GB2312" w:cstheme="minorBidi"/>
          <w:b w:val="0"/>
          <w:bCs/>
          <w:sz w:val="32"/>
          <w:szCs w:val="32"/>
          <w:lang w:val="en-US" w:eastAsia="zh-CN"/>
        </w:rPr>
      </w:pPr>
    </w:p>
    <w:p w14:paraId="64E34F01">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小结</w:t>
      </w:r>
    </w:p>
    <w:p w14:paraId="447C794A">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综合不同温度处理对茎用莴苣幼苗的影响表明，25℃/18℃条件是其幼苗生长的最适环境。本研究中的高、低温处理均对幼苗构成了胁迫，这主要体现在：在胁迫环境下，WS1与WS3两个品种的株高、叶长等关键表型生长受到显著抑制；同时，幼苗通过主动提高CAT、SOD等抗氧化酶活性来清除活性氧，并伴随着MDA含量的显著积累。主成分分析进一步</w:t>
      </w:r>
      <w:r>
        <w:rPr>
          <w:rStyle w:val="8"/>
          <w:rFonts w:hint="eastAsia" w:eastAsia="方正仿宋_GB2312" w:cstheme="minorBidi"/>
          <w:b w:val="0"/>
          <w:bCs/>
          <w:sz w:val="32"/>
          <w:szCs w:val="32"/>
          <w:lang w:val="en-US" w:eastAsia="zh-CN"/>
        </w:rPr>
        <w:t>明确</w:t>
      </w:r>
      <w:r>
        <w:rPr>
          <w:rStyle w:val="8"/>
          <w:rFonts w:hint="default" w:eastAsia="方正仿宋_GB2312" w:cstheme="minorBidi"/>
          <w:b w:val="0"/>
          <w:bCs/>
          <w:sz w:val="32"/>
          <w:szCs w:val="32"/>
          <w:lang w:val="en-US" w:eastAsia="zh-CN"/>
        </w:rPr>
        <w:t>MDA含量和抗氧化酶（CAT、SOD）活性是表征温度胁迫的核心指标。因此，茎用莴苣幼苗在未被干扰的常规温度下生长最佳，而高、低温胁迫则会引发氧化应激，抑制其正常生长发育。在生产实践中，应尽量避免幼苗期经历此类温度逆境，以确保壮苗的形成。</w:t>
      </w:r>
    </w:p>
    <w:p w14:paraId="3D3A1354">
      <w:pPr>
        <w:numPr>
          <w:ilvl w:val="0"/>
          <w:numId w:val="1"/>
        </w:numPr>
        <w:spacing w:before="156" w:beforeLines="50" w:after="156" w:afterLines="50"/>
        <w:outlineLvl w:val="2"/>
        <w:rPr>
          <w:rStyle w:val="8"/>
          <w:rFonts w:hint="default" w:eastAsia="方正仿宋_GB2312" w:cstheme="minorBidi"/>
          <w:b/>
          <w:sz w:val="32"/>
          <w:szCs w:val="32"/>
          <w:lang w:val="en-US"/>
        </w:rPr>
      </w:pPr>
      <w:r>
        <w:rPr>
          <w:rStyle w:val="8"/>
          <w:rFonts w:hint="eastAsia" w:eastAsia="方正仿宋_GB2312" w:cstheme="minorBidi"/>
          <w:b/>
          <w:sz w:val="32"/>
          <w:szCs w:val="32"/>
          <w:lang w:val="en-US" w:eastAsia="zh-CN"/>
        </w:rPr>
        <w:t>不同施肥方式对叶用莴苣幼苗生长的影响</w:t>
      </w:r>
    </w:p>
    <w:p w14:paraId="6546D2F9">
      <w:pPr>
        <w:numPr>
          <w:ilvl w:val="1"/>
          <w:numId w:val="1"/>
        </w:numPr>
        <w:spacing w:before="156" w:beforeLines="50" w:after="156" w:afterLines="5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研究目的</w:t>
      </w:r>
    </w:p>
    <w:p w14:paraId="0FB5CC48">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为全面评估不同叶面施肥时机对叶用莴苣幼苗的综合效应，本研究通过测定幼苗生长、根系形态、光合色素组成等系列指标，采用多元统计方法进行综合评价，旨在揭示不同施肥策略的特异性影响，为精准育苗提供深入的理论依据。</w:t>
      </w:r>
    </w:p>
    <w:p w14:paraId="22934357">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材料与方法</w:t>
      </w:r>
    </w:p>
    <w:p w14:paraId="75ACC5FF">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试验材料</w:t>
      </w:r>
    </w:p>
    <w:p w14:paraId="7D84E2D1">
      <w:pPr>
        <w:numPr>
          <w:ilvl w:val="0"/>
          <w:numId w:val="0"/>
        </w:numPr>
        <w:spacing w:before="156" w:beforeLines="50" w:after="156" w:afterLines="50"/>
        <w:ind w:leftChars="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供试品种：叶用莴苣</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奶生1号</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w:t>
      </w:r>
    </w:p>
    <w:p w14:paraId="7CD1BF1F">
      <w:pPr>
        <w:numPr>
          <w:ilvl w:val="0"/>
          <w:numId w:val="0"/>
        </w:numPr>
        <w:spacing w:before="156" w:beforeLines="50" w:after="156" w:afterLines="50"/>
        <w:ind w:leftChars="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育苗容器</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72孔黑色塑料穴盘。</w:t>
      </w:r>
    </w:p>
    <w:p w14:paraId="51F74F84">
      <w:pPr>
        <w:numPr>
          <w:ilvl w:val="0"/>
          <w:numId w:val="0"/>
        </w:numPr>
        <w:spacing w:before="156" w:beforeLines="50" w:after="156" w:afterLines="50"/>
        <w:ind w:leftChars="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育苗基质</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草炭</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珍珠岩 = 2:1 (v/v)，其初始电导率（EC）值为0.8 mS/cm。</w:t>
      </w:r>
    </w:p>
    <w:p w14:paraId="56E4BA76">
      <w:pPr>
        <w:numPr>
          <w:ilvl w:val="0"/>
          <w:numId w:val="0"/>
        </w:numPr>
        <w:spacing w:before="156" w:beforeLines="50" w:after="156" w:afterLines="50"/>
        <w:ind w:leftChars="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肥料</w:t>
      </w:r>
      <w:r>
        <w:rPr>
          <w:rStyle w:val="8"/>
          <w:rFonts w:hint="eastAsia" w:eastAsia="方正仿宋_GB2312" w:cstheme="minorBidi"/>
          <w:b w:val="0"/>
          <w:bCs/>
          <w:sz w:val="32"/>
          <w:szCs w:val="32"/>
          <w:lang w:val="en-US" w:eastAsia="zh-CN"/>
        </w:rPr>
        <w:t>：</w:t>
      </w:r>
      <w:r>
        <w:rPr>
          <w:rStyle w:val="8"/>
          <w:rFonts w:hint="default" w:eastAsia="方正仿宋_GB2312" w:cstheme="minorBidi"/>
          <w:b w:val="0"/>
          <w:bCs/>
          <w:sz w:val="32"/>
          <w:szCs w:val="32"/>
          <w:lang w:val="en-US" w:eastAsia="zh-CN"/>
        </w:rPr>
        <w:t>均衡型大量元素水溶肥（N-P₂O₅-K₂O = 20-20-20，并含螯合态微量元素）。</w:t>
      </w:r>
    </w:p>
    <w:p w14:paraId="40B936AF">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试验设计</w:t>
      </w:r>
    </w:p>
    <w:p w14:paraId="4556E13D">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试验于2025年4月15日在青海大学园艺创新基地育苗温室内进行。共设4个处理，分别为T1（一叶肥）：于第一片真叶完全展开期，叶面喷施1000倍大量元素水溶肥；T2（四叶肥）：仅于第四片真叶完全展开期，叶面喷施1000倍大量元素水溶肥；T3（一叶+四叶肥）：于第一片真叶完全展开期和第四片真叶完全展开期，各叶面喷施1次1000倍大量元素水溶肥；CK（对照）：在上述相同时期，叶面喷施等量清水。采用完全随机设计，每个处理设6次重复。所有处理除施肥外，其他管理完全一致。叶面喷施以叶片正反面均匀布满雾滴但不流淌为度。</w:t>
      </w:r>
    </w:p>
    <w:p w14:paraId="1CBB0C5B">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测定指标与方法</w:t>
      </w:r>
    </w:p>
    <w:p w14:paraId="22452610">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每重复随机选取3株进行指标测定，所有指标均</w:t>
      </w:r>
      <w:r>
        <w:rPr>
          <w:rStyle w:val="8"/>
          <w:rFonts w:hint="default" w:eastAsia="方正仿宋_GB2312" w:cstheme="minorBidi"/>
          <w:b w:val="0"/>
          <w:bCs/>
          <w:sz w:val="32"/>
          <w:szCs w:val="32"/>
          <w:lang w:val="en-US" w:eastAsia="zh-CN"/>
        </w:rPr>
        <w:t>于定植前</w:t>
      </w:r>
      <w:r>
        <w:rPr>
          <w:rStyle w:val="8"/>
          <w:rFonts w:hint="eastAsia" w:eastAsia="方正仿宋_GB2312" w:cstheme="minorBidi"/>
          <w:b w:val="0"/>
          <w:bCs/>
          <w:sz w:val="32"/>
          <w:szCs w:val="32"/>
          <w:lang w:val="en-US" w:eastAsia="zh-CN"/>
        </w:rPr>
        <w:t>7天进行取样和</w:t>
      </w:r>
      <w:r>
        <w:rPr>
          <w:rStyle w:val="8"/>
          <w:rFonts w:hint="default" w:eastAsia="方正仿宋_GB2312" w:cstheme="minorBidi"/>
          <w:b w:val="0"/>
          <w:bCs/>
          <w:sz w:val="32"/>
          <w:szCs w:val="32"/>
          <w:lang w:val="en-US" w:eastAsia="zh-CN"/>
        </w:rPr>
        <w:t>测定</w:t>
      </w:r>
      <w:r>
        <w:rPr>
          <w:rStyle w:val="8"/>
          <w:rFonts w:hint="eastAsia" w:eastAsia="方正仿宋_GB2312" w:cstheme="minorBidi"/>
          <w:b w:val="0"/>
          <w:bCs/>
          <w:sz w:val="32"/>
          <w:szCs w:val="32"/>
          <w:lang w:val="en-US" w:eastAsia="zh-CN"/>
        </w:rPr>
        <w:t>，使用卷尺和游标卡尺测定植株株高、茎粗；将整株幼苗清洗干净，烘干并称重，测定全株干物质量；根系形态指标采用GXY-A根系扫描仪，扫描其根系图片，用WinRhizo2005a系分析软件进行分析，获得根长、根直径、根体积、根表面积、根投影面、根毛数等数据，采用TTC法测定根系活力；采用乙醇提取法测定</w:t>
      </w:r>
      <w:r>
        <w:rPr>
          <w:rStyle w:val="8"/>
          <w:rFonts w:hint="default" w:eastAsia="方正仿宋_GB2312" w:cstheme="minorBidi"/>
          <w:b w:val="0"/>
          <w:bCs/>
          <w:sz w:val="32"/>
          <w:szCs w:val="32"/>
          <w:lang w:val="en-US" w:eastAsia="zh-CN"/>
        </w:rPr>
        <w:t>叶绿素a、叶绿素b 、总叶绿素a+b</w:t>
      </w:r>
      <w:r>
        <w:rPr>
          <w:rStyle w:val="8"/>
          <w:rFonts w:hint="eastAsia" w:eastAsia="方正仿宋_GB2312" w:cstheme="minorBidi"/>
          <w:b w:val="0"/>
          <w:bCs/>
          <w:sz w:val="32"/>
          <w:szCs w:val="32"/>
          <w:lang w:val="en-US" w:eastAsia="zh-CN"/>
        </w:rPr>
        <w:t>和类胡萝卜素含量，</w:t>
      </w:r>
      <w:r>
        <w:rPr>
          <w:rStyle w:val="8"/>
          <w:rFonts w:hint="default" w:eastAsia="方正仿宋_GB2312" w:cstheme="minorBidi"/>
          <w:b w:val="0"/>
          <w:bCs/>
          <w:sz w:val="32"/>
          <w:szCs w:val="32"/>
          <w:lang w:val="en-US" w:eastAsia="zh-CN"/>
        </w:rPr>
        <w:t>并计算Chl a/b比值。</w:t>
      </w:r>
    </w:p>
    <w:p w14:paraId="5A76B443">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统计与分析</w:t>
      </w:r>
    </w:p>
    <w:p w14:paraId="7E8A4693">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采用SPSS 26.0进行单因素方差分析和多重比较。为进一步综合评判，对除壮苗指数外的所有测定指标进行主成分分析，并基于主成分得分进行</w:t>
      </w:r>
      <w:r>
        <w:rPr>
          <w:rStyle w:val="8"/>
          <w:rFonts w:hint="eastAsia" w:eastAsia="方正仿宋_GB2312" w:cstheme="minorBidi"/>
          <w:b w:val="0"/>
          <w:bCs/>
          <w:sz w:val="32"/>
          <w:szCs w:val="32"/>
          <w:lang w:val="en-US" w:eastAsia="zh-CN"/>
        </w:rPr>
        <w:t>隶属函数法</w:t>
      </w:r>
      <w:r>
        <w:rPr>
          <w:rStyle w:val="8"/>
          <w:rFonts w:hint="default" w:eastAsia="方正仿宋_GB2312" w:cstheme="minorBidi"/>
          <w:b w:val="0"/>
          <w:bCs/>
          <w:sz w:val="32"/>
          <w:szCs w:val="32"/>
          <w:lang w:val="en-US" w:eastAsia="zh-CN"/>
        </w:rPr>
        <w:t>综合评价排序。</w:t>
      </w:r>
    </w:p>
    <w:p w14:paraId="12F2B39E">
      <w:pPr>
        <w:numPr>
          <w:ilvl w:val="0"/>
          <w:numId w:val="0"/>
        </w:numPr>
        <w:spacing w:before="156" w:beforeLines="50" w:after="156" w:afterLines="5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壮苗指数：(茎粗/株高) × 全株干重。</w:t>
      </w:r>
    </w:p>
    <w:p w14:paraId="10BD9F6C">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结果与分析</w:t>
      </w:r>
    </w:p>
    <w:p w14:paraId="455FD72C">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不同施肥方式对叶用莴苣幼苗生长和根系形态的影响</w:t>
      </w:r>
    </w:p>
    <w:p w14:paraId="466F4DBA">
      <w:pPr>
        <w:numPr>
          <w:ilvl w:val="0"/>
          <w:numId w:val="0"/>
        </w:numPr>
        <w:spacing w:before="156" w:beforeLines="50" w:after="156" w:afterLines="50"/>
        <w:ind w:leftChars="0"/>
        <w:jc w:val="center"/>
        <w:outlineLvl w:val="2"/>
        <w:rPr>
          <w:rStyle w:val="8"/>
          <w:rFonts w:hint="eastAsia"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表8 不同施肥方式对叶用莴苣幼苗生长和根系指标的影响</w:t>
      </w:r>
    </w:p>
    <w:tbl>
      <w:tblPr>
        <w:tblStyle w:val="4"/>
        <w:tblW w:w="4997"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93"/>
        <w:gridCol w:w="1600"/>
        <w:gridCol w:w="1612"/>
        <w:gridCol w:w="1600"/>
        <w:gridCol w:w="1612"/>
      </w:tblGrid>
      <w:tr w14:paraId="6D0B45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tcBorders>
              <w:bottom w:val="single" w:color="auto" w:sz="4" w:space="0"/>
            </w:tcBorders>
            <w:vAlign w:val="center"/>
          </w:tcPr>
          <w:p w14:paraId="67883AD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指标</w:t>
            </w:r>
          </w:p>
        </w:tc>
        <w:tc>
          <w:tcPr>
            <w:tcW w:w="939" w:type="pct"/>
            <w:tcBorders>
              <w:bottom w:val="single" w:color="auto" w:sz="4" w:space="0"/>
            </w:tcBorders>
            <w:vAlign w:val="center"/>
          </w:tcPr>
          <w:p w14:paraId="454B954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T1</w:t>
            </w:r>
          </w:p>
        </w:tc>
        <w:tc>
          <w:tcPr>
            <w:tcW w:w="946" w:type="pct"/>
            <w:tcBorders>
              <w:bottom w:val="single" w:color="auto" w:sz="4" w:space="0"/>
            </w:tcBorders>
            <w:vAlign w:val="center"/>
          </w:tcPr>
          <w:p w14:paraId="65B1182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T2</w:t>
            </w:r>
          </w:p>
        </w:tc>
        <w:tc>
          <w:tcPr>
            <w:tcW w:w="939" w:type="pct"/>
            <w:tcBorders>
              <w:bottom w:val="single" w:color="auto" w:sz="4" w:space="0"/>
            </w:tcBorders>
            <w:vAlign w:val="center"/>
          </w:tcPr>
          <w:p w14:paraId="2A797BD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T3</w:t>
            </w:r>
          </w:p>
        </w:tc>
        <w:tc>
          <w:tcPr>
            <w:tcW w:w="946" w:type="pct"/>
            <w:tcBorders>
              <w:bottom w:val="single" w:color="auto" w:sz="4" w:space="0"/>
            </w:tcBorders>
            <w:vAlign w:val="center"/>
          </w:tcPr>
          <w:p w14:paraId="08F4848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CK</w:t>
            </w:r>
          </w:p>
        </w:tc>
      </w:tr>
      <w:tr w14:paraId="078C17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tcBorders>
              <w:top w:val="single" w:color="auto" w:sz="4" w:space="0"/>
            </w:tcBorders>
            <w:vAlign w:val="center"/>
          </w:tcPr>
          <w:p w14:paraId="2193686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株高/cm</w:t>
            </w:r>
          </w:p>
        </w:tc>
        <w:tc>
          <w:tcPr>
            <w:tcW w:w="939" w:type="pct"/>
            <w:tcBorders>
              <w:top w:val="single" w:color="auto" w:sz="4" w:space="0"/>
            </w:tcBorders>
            <w:vAlign w:val="center"/>
          </w:tcPr>
          <w:p w14:paraId="2984EF8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9.85±0.81 b</w:t>
            </w:r>
          </w:p>
        </w:tc>
        <w:tc>
          <w:tcPr>
            <w:tcW w:w="946" w:type="pct"/>
            <w:tcBorders>
              <w:top w:val="single" w:color="auto" w:sz="4" w:space="0"/>
            </w:tcBorders>
            <w:vAlign w:val="center"/>
          </w:tcPr>
          <w:p w14:paraId="525FE2B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10.92±0.89a</w:t>
            </w:r>
          </w:p>
        </w:tc>
        <w:tc>
          <w:tcPr>
            <w:tcW w:w="939" w:type="pct"/>
            <w:tcBorders>
              <w:top w:val="single" w:color="auto" w:sz="4" w:space="0"/>
            </w:tcBorders>
            <w:vAlign w:val="center"/>
          </w:tcPr>
          <w:p w14:paraId="2E6A819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10.65±0.87a</w:t>
            </w:r>
          </w:p>
        </w:tc>
        <w:tc>
          <w:tcPr>
            <w:tcW w:w="946" w:type="pct"/>
            <w:tcBorders>
              <w:top w:val="single" w:color="auto" w:sz="4" w:space="0"/>
            </w:tcBorders>
            <w:vAlign w:val="center"/>
          </w:tcPr>
          <w:p w14:paraId="7443053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9.38±0.77c</w:t>
            </w:r>
          </w:p>
        </w:tc>
      </w:tr>
      <w:tr w14:paraId="64459D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5295253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茎粗/mm</w:t>
            </w:r>
          </w:p>
        </w:tc>
        <w:tc>
          <w:tcPr>
            <w:tcW w:w="939" w:type="pct"/>
            <w:vAlign w:val="center"/>
          </w:tcPr>
          <w:p w14:paraId="164451F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2.58±0.23b</w:t>
            </w:r>
          </w:p>
        </w:tc>
        <w:tc>
          <w:tcPr>
            <w:tcW w:w="946" w:type="pct"/>
            <w:vAlign w:val="center"/>
          </w:tcPr>
          <w:p w14:paraId="6DEB04A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2.68±0.24b</w:t>
            </w:r>
          </w:p>
        </w:tc>
        <w:tc>
          <w:tcPr>
            <w:tcW w:w="939" w:type="pct"/>
            <w:vAlign w:val="center"/>
          </w:tcPr>
          <w:p w14:paraId="4BDED05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2.88±0.26a</w:t>
            </w:r>
          </w:p>
        </w:tc>
        <w:tc>
          <w:tcPr>
            <w:tcW w:w="946" w:type="pct"/>
            <w:vAlign w:val="center"/>
          </w:tcPr>
          <w:p w14:paraId="61CDEAB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2.35±0.21c</w:t>
            </w:r>
          </w:p>
        </w:tc>
      </w:tr>
      <w:tr w14:paraId="2C0310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6CFAE3B8">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全株干重/g</w:t>
            </w:r>
          </w:p>
        </w:tc>
        <w:tc>
          <w:tcPr>
            <w:tcW w:w="939" w:type="pct"/>
            <w:vAlign w:val="center"/>
          </w:tcPr>
          <w:p w14:paraId="24435AC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0.190±0.021c</w:t>
            </w:r>
          </w:p>
        </w:tc>
        <w:tc>
          <w:tcPr>
            <w:tcW w:w="946" w:type="pct"/>
            <w:vAlign w:val="center"/>
          </w:tcPr>
          <w:p w14:paraId="7DAD671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0.219±0.024b</w:t>
            </w:r>
          </w:p>
        </w:tc>
        <w:tc>
          <w:tcPr>
            <w:tcW w:w="939" w:type="pct"/>
            <w:vAlign w:val="center"/>
          </w:tcPr>
          <w:p w14:paraId="5E92069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0.250±0.028a</w:t>
            </w:r>
          </w:p>
        </w:tc>
        <w:tc>
          <w:tcPr>
            <w:tcW w:w="946" w:type="pct"/>
            <w:vAlign w:val="center"/>
          </w:tcPr>
          <w:p w14:paraId="4C69EB8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0.194±0.017c</w:t>
            </w:r>
          </w:p>
        </w:tc>
      </w:tr>
      <w:tr w14:paraId="23ED2E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20587C5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总根长/cm</w:t>
            </w:r>
          </w:p>
        </w:tc>
        <w:tc>
          <w:tcPr>
            <w:tcW w:w="939" w:type="pct"/>
            <w:vAlign w:val="center"/>
          </w:tcPr>
          <w:p w14:paraId="4053BCC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122.4±11.4b</w:t>
            </w:r>
          </w:p>
        </w:tc>
        <w:tc>
          <w:tcPr>
            <w:tcW w:w="946" w:type="pct"/>
            <w:vAlign w:val="center"/>
          </w:tcPr>
          <w:p w14:paraId="3D22CCC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130.7±12.1b</w:t>
            </w:r>
          </w:p>
        </w:tc>
        <w:tc>
          <w:tcPr>
            <w:tcW w:w="939" w:type="pct"/>
            <w:vAlign w:val="center"/>
          </w:tcPr>
          <w:p w14:paraId="12ACA82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145.8±13.5a</w:t>
            </w:r>
          </w:p>
        </w:tc>
        <w:tc>
          <w:tcPr>
            <w:tcW w:w="946" w:type="pct"/>
            <w:vAlign w:val="center"/>
          </w:tcPr>
          <w:p w14:paraId="420901F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95.3±8.9c</w:t>
            </w:r>
          </w:p>
        </w:tc>
      </w:tr>
      <w:tr w14:paraId="6AA568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39E2F95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根表面积/cm</w:t>
            </w:r>
            <w:r>
              <w:rPr>
                <w:rStyle w:val="8"/>
                <w:rFonts w:hint="eastAsia" w:eastAsia="方正仿宋_GB2312" w:cstheme="minorBidi"/>
                <w:b w:val="0"/>
                <w:bCs/>
                <w:sz w:val="21"/>
                <w:szCs w:val="21"/>
                <w:vertAlign w:val="superscript"/>
                <w:lang w:val="en-US" w:eastAsia="zh-CN"/>
              </w:rPr>
              <w:t>2</w:t>
            </w:r>
          </w:p>
        </w:tc>
        <w:tc>
          <w:tcPr>
            <w:tcW w:w="939" w:type="pct"/>
            <w:vAlign w:val="center"/>
          </w:tcPr>
          <w:p w14:paraId="5F7F336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29.8±2.8b</w:t>
            </w:r>
          </w:p>
        </w:tc>
        <w:tc>
          <w:tcPr>
            <w:tcW w:w="946" w:type="pct"/>
            <w:vAlign w:val="center"/>
          </w:tcPr>
          <w:p w14:paraId="4E4B8AC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31.5±3.0b</w:t>
            </w:r>
          </w:p>
        </w:tc>
        <w:tc>
          <w:tcPr>
            <w:tcW w:w="939" w:type="pct"/>
            <w:vAlign w:val="center"/>
          </w:tcPr>
          <w:p w14:paraId="3802E8E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36.2±3.4a</w:t>
            </w:r>
          </w:p>
        </w:tc>
        <w:tc>
          <w:tcPr>
            <w:tcW w:w="946" w:type="pct"/>
            <w:vAlign w:val="center"/>
          </w:tcPr>
          <w:p w14:paraId="00F72CD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31.5±2.0b</w:t>
            </w:r>
          </w:p>
        </w:tc>
      </w:tr>
      <w:tr w14:paraId="02A046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5F88D76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根体积/m</w:t>
            </w:r>
            <w:r>
              <w:rPr>
                <w:rStyle w:val="8"/>
                <w:rFonts w:hint="eastAsia" w:eastAsia="方正仿宋_GB2312" w:cstheme="minorBidi"/>
                <w:b w:val="0"/>
                <w:bCs/>
                <w:sz w:val="21"/>
                <w:szCs w:val="21"/>
                <w:vertAlign w:val="superscript"/>
                <w:lang w:val="en-US" w:eastAsia="zh-CN"/>
              </w:rPr>
              <w:t>3</w:t>
            </w:r>
          </w:p>
        </w:tc>
        <w:tc>
          <w:tcPr>
            <w:tcW w:w="939" w:type="pct"/>
            <w:vAlign w:val="center"/>
          </w:tcPr>
          <w:p w14:paraId="744DD01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0.58±0.06b</w:t>
            </w:r>
          </w:p>
        </w:tc>
        <w:tc>
          <w:tcPr>
            <w:tcW w:w="946" w:type="pct"/>
            <w:vAlign w:val="center"/>
          </w:tcPr>
          <w:p w14:paraId="7454560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0.61±0.06b</w:t>
            </w:r>
          </w:p>
        </w:tc>
        <w:tc>
          <w:tcPr>
            <w:tcW w:w="939" w:type="pct"/>
            <w:vAlign w:val="center"/>
          </w:tcPr>
          <w:p w14:paraId="53C8E94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0.72±0.07a</w:t>
            </w:r>
          </w:p>
        </w:tc>
        <w:tc>
          <w:tcPr>
            <w:tcW w:w="946" w:type="pct"/>
            <w:vAlign w:val="center"/>
          </w:tcPr>
          <w:p w14:paraId="0FD09D4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0.62±0.04b</w:t>
            </w:r>
          </w:p>
        </w:tc>
      </w:tr>
      <w:tr w14:paraId="16BF4C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26CEDDB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根平均直径/mm</w:t>
            </w:r>
          </w:p>
        </w:tc>
        <w:tc>
          <w:tcPr>
            <w:tcW w:w="939" w:type="pct"/>
            <w:vAlign w:val="center"/>
          </w:tcPr>
          <w:p w14:paraId="1FC0F8CE">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0.52±0.05a</w:t>
            </w:r>
          </w:p>
        </w:tc>
        <w:tc>
          <w:tcPr>
            <w:tcW w:w="946" w:type="pct"/>
            <w:vAlign w:val="center"/>
          </w:tcPr>
          <w:p w14:paraId="1CCB4D9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0.48±0.04b</w:t>
            </w:r>
          </w:p>
        </w:tc>
        <w:tc>
          <w:tcPr>
            <w:tcW w:w="939" w:type="pct"/>
            <w:vAlign w:val="center"/>
          </w:tcPr>
          <w:p w14:paraId="7B43EB3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0.49±0.05b</w:t>
            </w:r>
          </w:p>
        </w:tc>
        <w:tc>
          <w:tcPr>
            <w:tcW w:w="946" w:type="pct"/>
            <w:vAlign w:val="center"/>
          </w:tcPr>
          <w:p w14:paraId="048E3D2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0.47±0.04b</w:t>
            </w:r>
          </w:p>
        </w:tc>
      </w:tr>
      <w:tr w14:paraId="4F61F8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22D69F0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根毛数</w:t>
            </w:r>
          </w:p>
        </w:tc>
        <w:tc>
          <w:tcPr>
            <w:tcW w:w="939" w:type="pct"/>
            <w:vAlign w:val="center"/>
          </w:tcPr>
          <w:p w14:paraId="6B5C220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285±35a</w:t>
            </w:r>
          </w:p>
        </w:tc>
        <w:tc>
          <w:tcPr>
            <w:tcW w:w="946" w:type="pct"/>
            <w:vAlign w:val="center"/>
          </w:tcPr>
          <w:p w14:paraId="04E375E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242±31b</w:t>
            </w:r>
          </w:p>
        </w:tc>
        <w:tc>
          <w:tcPr>
            <w:tcW w:w="939" w:type="pct"/>
            <w:vAlign w:val="center"/>
          </w:tcPr>
          <w:p w14:paraId="3C373D1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265±34ab</w:t>
            </w:r>
          </w:p>
        </w:tc>
        <w:tc>
          <w:tcPr>
            <w:tcW w:w="946" w:type="pct"/>
            <w:vAlign w:val="center"/>
          </w:tcPr>
          <w:p w14:paraId="7ED03E4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248±28b</w:t>
            </w:r>
          </w:p>
        </w:tc>
      </w:tr>
      <w:tr w14:paraId="2A4737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07F30095">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根系活力/</w:t>
            </w:r>
            <w:r>
              <w:rPr>
                <w:rStyle w:val="8"/>
                <w:rFonts w:hint="default" w:ascii="Times New Roman" w:hAnsi="Times New Roman" w:eastAsia="方正仿宋_GB2312" w:cs="Times New Roman"/>
                <w:b w:val="0"/>
                <w:bCs/>
                <w:sz w:val="21"/>
                <w:szCs w:val="21"/>
                <w:vertAlign w:val="baseline"/>
                <w:lang w:val="en-US" w:eastAsia="zh-CN"/>
              </w:rPr>
              <w:t>µ</w:t>
            </w:r>
            <w:r>
              <w:rPr>
                <w:rFonts w:ascii="Times New Roman" w:hAnsi="Times New Roman"/>
                <w:b w:val="0"/>
                <w:bCs/>
                <w:color w:val="000000"/>
                <w:sz w:val="21"/>
                <w:szCs w:val="21"/>
              </w:rPr>
              <w:t>g·g</w:t>
            </w:r>
            <w:r>
              <w:rPr>
                <w:rFonts w:ascii="Times New Roman" w:hAnsi="Times New Roman"/>
                <w:b w:val="0"/>
                <w:bCs/>
                <w:color w:val="000000"/>
                <w:sz w:val="21"/>
                <w:szCs w:val="21"/>
                <w:vertAlign w:val="superscript"/>
              </w:rPr>
              <w:t>-1</w:t>
            </w:r>
            <w:r>
              <w:rPr>
                <w:rFonts w:ascii="Times New Roman" w:hAnsi="Times New Roman"/>
                <w:b w:val="0"/>
                <w:bCs/>
                <w:color w:val="000000"/>
                <w:sz w:val="21"/>
                <w:szCs w:val="21"/>
              </w:rPr>
              <w:t>·h</w:t>
            </w:r>
            <w:r>
              <w:rPr>
                <w:rFonts w:ascii="Times New Roman" w:hAnsi="Times New Roman"/>
                <w:b w:val="0"/>
                <w:bCs/>
                <w:color w:val="000000"/>
                <w:sz w:val="21"/>
                <w:szCs w:val="21"/>
                <w:vertAlign w:val="superscript"/>
              </w:rPr>
              <w:t>-1</w:t>
            </w:r>
          </w:p>
        </w:tc>
        <w:tc>
          <w:tcPr>
            <w:tcW w:w="939" w:type="pct"/>
            <w:vAlign w:val="center"/>
          </w:tcPr>
          <w:p w14:paraId="17931CAC">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178.5±16.9c</w:t>
            </w:r>
          </w:p>
        </w:tc>
        <w:tc>
          <w:tcPr>
            <w:tcW w:w="946" w:type="pct"/>
            <w:vAlign w:val="center"/>
          </w:tcPr>
          <w:p w14:paraId="03D23FEB">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235.8±22.1a</w:t>
            </w:r>
          </w:p>
        </w:tc>
        <w:tc>
          <w:tcPr>
            <w:tcW w:w="939" w:type="pct"/>
            <w:vAlign w:val="center"/>
          </w:tcPr>
          <w:p w14:paraId="03C4E2B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221.4±20.8a</w:t>
            </w:r>
          </w:p>
        </w:tc>
        <w:tc>
          <w:tcPr>
            <w:tcW w:w="946" w:type="pct"/>
            <w:vAlign w:val="center"/>
          </w:tcPr>
          <w:p w14:paraId="3377BA0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149.6±14.2d</w:t>
            </w:r>
          </w:p>
        </w:tc>
      </w:tr>
      <w:tr w14:paraId="345BEE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29" w:type="pct"/>
            <w:vAlign w:val="center"/>
          </w:tcPr>
          <w:p w14:paraId="6774C15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壮苗指数</w:t>
            </w:r>
          </w:p>
        </w:tc>
        <w:tc>
          <w:tcPr>
            <w:tcW w:w="939" w:type="pct"/>
            <w:vAlign w:val="center"/>
          </w:tcPr>
          <w:p w14:paraId="27A7819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0.050±0.006c</w:t>
            </w:r>
          </w:p>
        </w:tc>
        <w:tc>
          <w:tcPr>
            <w:tcW w:w="946" w:type="pct"/>
            <w:vAlign w:val="center"/>
          </w:tcPr>
          <w:p w14:paraId="4FE87AB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0.054±0.006b</w:t>
            </w:r>
          </w:p>
        </w:tc>
        <w:tc>
          <w:tcPr>
            <w:tcW w:w="939" w:type="pct"/>
            <w:vAlign w:val="center"/>
          </w:tcPr>
          <w:p w14:paraId="3E2C15E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0.068±0.008a</w:t>
            </w:r>
          </w:p>
        </w:tc>
        <w:tc>
          <w:tcPr>
            <w:tcW w:w="946" w:type="pct"/>
            <w:vAlign w:val="center"/>
          </w:tcPr>
          <w:p w14:paraId="1566478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0.049±0.005</w:t>
            </w:r>
          </w:p>
        </w:tc>
      </w:tr>
    </w:tbl>
    <w:p w14:paraId="71050E2A">
      <w:pPr>
        <w:numPr>
          <w:ilvl w:val="0"/>
          <w:numId w:val="0"/>
        </w:numPr>
        <w:spacing w:before="156" w:beforeLines="50" w:after="156" w:afterLines="50"/>
        <w:outlineLvl w:val="2"/>
        <w:rPr>
          <w:rStyle w:val="8"/>
          <w:rFonts w:hint="eastAsia" w:ascii="仿宋" w:hAnsi="仿宋" w:eastAsia="仿宋" w:cs="仿宋"/>
          <w:b w:val="0"/>
          <w:bCs/>
          <w:i w:val="0"/>
          <w:iCs/>
          <w:sz w:val="21"/>
          <w:szCs w:val="21"/>
          <w:lang w:val="en-US" w:eastAsia="zh-CN"/>
        </w:rPr>
      </w:pPr>
      <w:r>
        <w:rPr>
          <w:rStyle w:val="7"/>
          <w:rFonts w:hint="eastAsia" w:ascii="仿宋" w:hAnsi="仿宋" w:eastAsia="仿宋" w:cs="仿宋"/>
          <w:i w:val="0"/>
          <w:iCs/>
          <w:caps w:val="0"/>
          <w:color w:val="0F1115"/>
          <w:spacing w:val="0"/>
          <w:sz w:val="21"/>
          <w:szCs w:val="21"/>
          <w:shd w:val="clear" w:fill="FFFFFF"/>
        </w:rPr>
        <w:t>注：同行不同字母表示处理间在P</w:t>
      </w:r>
      <w:r>
        <w:rPr>
          <w:rStyle w:val="7"/>
          <w:rFonts w:hint="eastAsia" w:ascii="仿宋" w:hAnsi="仿宋" w:eastAsia="仿宋" w:cs="仿宋"/>
          <w:i w:val="0"/>
          <w:iCs/>
          <w:caps w:val="0"/>
          <w:color w:val="0F1115"/>
          <w:spacing w:val="0"/>
          <w:sz w:val="21"/>
          <w:szCs w:val="21"/>
          <w:shd w:val="clear" w:fill="FFFFFF"/>
          <w:lang w:val="en-US" w:eastAsia="zh-CN"/>
        </w:rPr>
        <w:t>&lt;</w:t>
      </w:r>
      <w:r>
        <w:rPr>
          <w:rStyle w:val="7"/>
          <w:rFonts w:hint="eastAsia" w:ascii="仿宋" w:hAnsi="仿宋" w:eastAsia="仿宋" w:cs="仿宋"/>
          <w:i w:val="0"/>
          <w:iCs/>
          <w:caps w:val="0"/>
          <w:color w:val="0F1115"/>
          <w:spacing w:val="0"/>
          <w:sz w:val="21"/>
          <w:szCs w:val="21"/>
          <w:shd w:val="clear" w:fill="FFFFFF"/>
        </w:rPr>
        <w:t>0.05水平差异显著。</w:t>
      </w:r>
    </w:p>
    <w:p w14:paraId="48E2EAC0">
      <w:pPr>
        <w:numPr>
          <w:ilvl w:val="0"/>
          <w:numId w:val="0"/>
        </w:numPr>
        <w:spacing w:before="156" w:beforeLines="50" w:after="156" w:afterLines="50"/>
        <w:ind w:leftChars="0" w:firstLine="640" w:firstLineChars="200"/>
        <w:outlineLvl w:val="2"/>
        <w:rPr>
          <w:rStyle w:val="8"/>
          <w:rFonts w:hint="eastAsia"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由表8可知，各处理指标呈现差异化响应。T3处理在茎粗、全株干重、总根长、根表面积和根体积等生长与根系扩展指标上均表现最优，并显著优于其他处理（P&lt;0.05），体现了其促进物质积累与根系空间拓展的全面优势。T2处理则表现出其特异性，其株高与根系活力均达到最高值，且与T3无显著差异，说明后期施肥对促进植株伸长与维持根系高代谢活性具有突出作用。T1处理的效果主要体现在根系构型上，其根平均直径和根尖数显著最大，表明早期营养供应更利于根系增粗与分支发生，但该处理在生物量积累和根系活力方面均显著低于T2与T3。所有施肥处理的大多数指标均显著优于CK处理，说明了幼苗期喷施叶面肥的必要性。综合来看，不同施肥策略对幼苗的调控存在明显的功能分化，T1长于根系构型奠基，T2优于促进伸长与代谢活力，而T3则在整合各方优势上最为有效，能协同实现壮秆、增重与扩根的目标。</w:t>
      </w:r>
    </w:p>
    <w:p w14:paraId="04DFCBD6">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不同施肥方式对叶用莴苣幼苗光合色素含量的影响</w:t>
      </w:r>
    </w:p>
    <w:p w14:paraId="56B2E54C">
      <w:pPr>
        <w:numPr>
          <w:ilvl w:val="0"/>
          <w:numId w:val="0"/>
        </w:numPr>
        <w:spacing w:before="156" w:beforeLines="50" w:after="156" w:afterLines="50"/>
        <w:ind w:leftChars="0"/>
        <w:jc w:val="center"/>
        <w:outlineLvl w:val="2"/>
        <w:rPr>
          <w:rStyle w:val="8"/>
          <w:rFonts w:hint="eastAsia"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表9 不同施肥方式对叶用莴苣幼苗光合色素指标的影响</w:t>
      </w:r>
    </w:p>
    <w:tbl>
      <w:tblPr>
        <w:tblStyle w:val="4"/>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79"/>
        <w:gridCol w:w="1679"/>
        <w:gridCol w:w="1803"/>
        <w:gridCol w:w="1679"/>
        <w:gridCol w:w="1679"/>
      </w:tblGrid>
      <w:tr w14:paraId="28D395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5" w:type="pct"/>
            <w:tcBorders>
              <w:bottom w:val="single" w:color="auto" w:sz="4" w:space="0"/>
            </w:tcBorders>
            <w:vAlign w:val="center"/>
          </w:tcPr>
          <w:p w14:paraId="547FF38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指标</w:t>
            </w:r>
          </w:p>
        </w:tc>
        <w:tc>
          <w:tcPr>
            <w:tcW w:w="985" w:type="pct"/>
            <w:tcBorders>
              <w:bottom w:val="single" w:color="auto" w:sz="4" w:space="0"/>
            </w:tcBorders>
            <w:vAlign w:val="center"/>
          </w:tcPr>
          <w:p w14:paraId="405B2F3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T1</w:t>
            </w:r>
          </w:p>
        </w:tc>
        <w:tc>
          <w:tcPr>
            <w:tcW w:w="1058" w:type="pct"/>
            <w:tcBorders>
              <w:bottom w:val="single" w:color="auto" w:sz="4" w:space="0"/>
            </w:tcBorders>
            <w:vAlign w:val="center"/>
          </w:tcPr>
          <w:p w14:paraId="5B36A2D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T2</w:t>
            </w:r>
          </w:p>
        </w:tc>
        <w:tc>
          <w:tcPr>
            <w:tcW w:w="985" w:type="pct"/>
            <w:tcBorders>
              <w:bottom w:val="single" w:color="auto" w:sz="4" w:space="0"/>
            </w:tcBorders>
            <w:vAlign w:val="center"/>
          </w:tcPr>
          <w:p w14:paraId="428DBEA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T3</w:t>
            </w:r>
          </w:p>
        </w:tc>
        <w:tc>
          <w:tcPr>
            <w:tcW w:w="985" w:type="pct"/>
            <w:tcBorders>
              <w:bottom w:val="single" w:color="auto" w:sz="4" w:space="0"/>
            </w:tcBorders>
            <w:vAlign w:val="center"/>
          </w:tcPr>
          <w:p w14:paraId="417E2AB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CK</w:t>
            </w:r>
          </w:p>
        </w:tc>
      </w:tr>
      <w:tr w14:paraId="38BF3C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5" w:type="pct"/>
            <w:tcBorders>
              <w:top w:val="single" w:color="auto" w:sz="4" w:space="0"/>
            </w:tcBorders>
            <w:vAlign w:val="center"/>
          </w:tcPr>
          <w:p w14:paraId="773BB7A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叶绿素a</w:t>
            </w:r>
          </w:p>
        </w:tc>
        <w:tc>
          <w:tcPr>
            <w:tcW w:w="985" w:type="pct"/>
            <w:tcBorders>
              <w:top w:val="single" w:color="auto" w:sz="4" w:space="0"/>
            </w:tcBorders>
            <w:vAlign w:val="center"/>
          </w:tcPr>
          <w:p w14:paraId="611953C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1.12±0.10b</w:t>
            </w:r>
          </w:p>
        </w:tc>
        <w:tc>
          <w:tcPr>
            <w:tcW w:w="1058" w:type="pct"/>
            <w:tcBorders>
              <w:top w:val="single" w:color="auto" w:sz="4" w:space="0"/>
            </w:tcBorders>
            <w:vAlign w:val="center"/>
          </w:tcPr>
          <w:p w14:paraId="4D1E917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1.28±0.11a</w:t>
            </w:r>
          </w:p>
        </w:tc>
        <w:tc>
          <w:tcPr>
            <w:tcW w:w="985" w:type="pct"/>
            <w:tcBorders>
              <w:top w:val="single" w:color="auto" w:sz="4" w:space="0"/>
            </w:tcBorders>
            <w:vAlign w:val="center"/>
          </w:tcPr>
          <w:p w14:paraId="40DB1ED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1.35±0.12a</w:t>
            </w:r>
          </w:p>
        </w:tc>
        <w:tc>
          <w:tcPr>
            <w:tcW w:w="985" w:type="pct"/>
            <w:tcBorders>
              <w:top w:val="single" w:color="auto" w:sz="4" w:space="0"/>
            </w:tcBorders>
            <w:vAlign w:val="center"/>
          </w:tcPr>
          <w:p w14:paraId="05EE941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0.98±0.09c</w:t>
            </w:r>
          </w:p>
        </w:tc>
      </w:tr>
      <w:tr w14:paraId="2D7C93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5" w:type="pct"/>
            <w:vAlign w:val="center"/>
          </w:tcPr>
          <w:p w14:paraId="4ED12B2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叶绿素b</w:t>
            </w:r>
          </w:p>
        </w:tc>
        <w:tc>
          <w:tcPr>
            <w:tcW w:w="985" w:type="pct"/>
            <w:vAlign w:val="center"/>
          </w:tcPr>
          <w:p w14:paraId="15CF513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0.41±0.04a</w:t>
            </w:r>
          </w:p>
        </w:tc>
        <w:tc>
          <w:tcPr>
            <w:tcW w:w="1058" w:type="pct"/>
            <w:vAlign w:val="center"/>
          </w:tcPr>
          <w:p w14:paraId="2DF24F65">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0.43±0.04a</w:t>
            </w:r>
          </w:p>
        </w:tc>
        <w:tc>
          <w:tcPr>
            <w:tcW w:w="985" w:type="pct"/>
            <w:vAlign w:val="center"/>
          </w:tcPr>
          <w:p w14:paraId="646B14D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0.44±0.04a</w:t>
            </w:r>
          </w:p>
        </w:tc>
        <w:tc>
          <w:tcPr>
            <w:tcW w:w="985" w:type="pct"/>
            <w:vAlign w:val="center"/>
          </w:tcPr>
          <w:p w14:paraId="7A62734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0.31±0.03b</w:t>
            </w:r>
          </w:p>
        </w:tc>
      </w:tr>
      <w:tr w14:paraId="6B5D7B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5" w:type="pct"/>
            <w:vAlign w:val="center"/>
          </w:tcPr>
          <w:p w14:paraId="610B769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总叶绿素</w:t>
            </w:r>
          </w:p>
        </w:tc>
        <w:tc>
          <w:tcPr>
            <w:tcW w:w="985" w:type="pct"/>
            <w:vAlign w:val="center"/>
          </w:tcPr>
          <w:p w14:paraId="259A8D4A">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1.53±0.14b</w:t>
            </w:r>
          </w:p>
        </w:tc>
        <w:tc>
          <w:tcPr>
            <w:tcW w:w="1058" w:type="pct"/>
            <w:vAlign w:val="center"/>
          </w:tcPr>
          <w:p w14:paraId="738FE97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1.71±0.15a</w:t>
            </w:r>
          </w:p>
        </w:tc>
        <w:tc>
          <w:tcPr>
            <w:tcW w:w="985" w:type="pct"/>
            <w:vAlign w:val="center"/>
          </w:tcPr>
          <w:p w14:paraId="547E4F43">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1.79±0.16a</w:t>
            </w:r>
          </w:p>
        </w:tc>
        <w:tc>
          <w:tcPr>
            <w:tcW w:w="985" w:type="pct"/>
            <w:vAlign w:val="center"/>
          </w:tcPr>
          <w:p w14:paraId="3636C3DF">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1.29±0.12c</w:t>
            </w:r>
          </w:p>
        </w:tc>
      </w:tr>
      <w:tr w14:paraId="141992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5" w:type="pct"/>
            <w:vAlign w:val="center"/>
          </w:tcPr>
          <w:p w14:paraId="79955D5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类胡萝卜素</w:t>
            </w:r>
          </w:p>
        </w:tc>
        <w:tc>
          <w:tcPr>
            <w:tcW w:w="985" w:type="pct"/>
            <w:vAlign w:val="center"/>
          </w:tcPr>
          <w:p w14:paraId="05EA89C2">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0.28±0.03b</w:t>
            </w:r>
          </w:p>
        </w:tc>
        <w:tc>
          <w:tcPr>
            <w:tcW w:w="1058" w:type="pct"/>
            <w:vAlign w:val="center"/>
          </w:tcPr>
          <w:p w14:paraId="24FD8201">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0.31±0.03ab</w:t>
            </w:r>
          </w:p>
        </w:tc>
        <w:tc>
          <w:tcPr>
            <w:tcW w:w="985" w:type="pct"/>
            <w:vAlign w:val="center"/>
          </w:tcPr>
          <w:p w14:paraId="0DA16DA0">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0.33±0.03a</w:t>
            </w:r>
          </w:p>
        </w:tc>
        <w:tc>
          <w:tcPr>
            <w:tcW w:w="985" w:type="pct"/>
            <w:vAlign w:val="center"/>
          </w:tcPr>
          <w:p w14:paraId="73142DED">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0.24±0.02c</w:t>
            </w:r>
          </w:p>
        </w:tc>
      </w:tr>
      <w:tr w14:paraId="44B2DC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5" w:type="pct"/>
            <w:vAlign w:val="center"/>
          </w:tcPr>
          <w:p w14:paraId="3D8BA489">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叶绿素a/b</w:t>
            </w:r>
          </w:p>
        </w:tc>
        <w:tc>
          <w:tcPr>
            <w:tcW w:w="985" w:type="pct"/>
            <w:vAlign w:val="center"/>
          </w:tcPr>
          <w:p w14:paraId="230173B4">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2.73±0.25c</w:t>
            </w:r>
          </w:p>
        </w:tc>
        <w:tc>
          <w:tcPr>
            <w:tcW w:w="1058" w:type="pct"/>
            <w:vAlign w:val="center"/>
          </w:tcPr>
          <w:p w14:paraId="1D3B5EB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2.98±0.27b</w:t>
            </w:r>
          </w:p>
        </w:tc>
        <w:tc>
          <w:tcPr>
            <w:tcW w:w="985" w:type="pct"/>
            <w:vAlign w:val="center"/>
          </w:tcPr>
          <w:p w14:paraId="191C3946">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3.07±0.28b</w:t>
            </w:r>
          </w:p>
        </w:tc>
        <w:tc>
          <w:tcPr>
            <w:tcW w:w="985" w:type="pct"/>
            <w:vAlign w:val="center"/>
          </w:tcPr>
          <w:p w14:paraId="14EF37B7">
            <w:pPr>
              <w:numPr>
                <w:ilvl w:val="0"/>
                <w:numId w:val="0"/>
              </w:numPr>
              <w:spacing w:before="156" w:beforeLines="50" w:after="156" w:afterLines="50"/>
              <w:jc w:val="center"/>
              <w:outlineLvl w:val="2"/>
              <w:rPr>
                <w:rStyle w:val="8"/>
                <w:rFonts w:hint="default" w:eastAsia="方正仿宋_GB2312" w:cstheme="minorBidi"/>
                <w:b w:val="0"/>
                <w:bCs/>
                <w:sz w:val="21"/>
                <w:szCs w:val="21"/>
                <w:vertAlign w:val="baseline"/>
                <w:lang w:val="en-US" w:eastAsia="zh-CN"/>
              </w:rPr>
            </w:pPr>
            <w:r>
              <w:rPr>
                <w:rStyle w:val="8"/>
                <w:rFonts w:hint="eastAsia" w:eastAsia="方正仿宋_GB2312" w:cstheme="minorBidi"/>
                <w:b w:val="0"/>
                <w:bCs/>
                <w:sz w:val="21"/>
                <w:szCs w:val="21"/>
                <w:vertAlign w:val="baseline"/>
                <w:lang w:val="en-US" w:eastAsia="zh-CN"/>
              </w:rPr>
              <w:t>3.16±0.29a</w:t>
            </w:r>
          </w:p>
        </w:tc>
      </w:tr>
    </w:tbl>
    <w:p w14:paraId="4013F5C1">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施肥处理极显著影响了叶片光合色素组成（表</w:t>
      </w:r>
      <w:r>
        <w:rPr>
          <w:rStyle w:val="8"/>
          <w:rFonts w:hint="eastAsia" w:eastAsia="方正仿宋_GB2312" w:cstheme="minorBidi"/>
          <w:b w:val="0"/>
          <w:bCs/>
          <w:sz w:val="32"/>
          <w:szCs w:val="32"/>
          <w:lang w:val="en-US" w:eastAsia="zh-CN"/>
        </w:rPr>
        <w:t>9</w:t>
      </w:r>
      <w:r>
        <w:rPr>
          <w:rStyle w:val="8"/>
          <w:rFonts w:hint="default" w:eastAsia="方正仿宋_GB2312" w:cstheme="minorBidi"/>
          <w:b w:val="0"/>
          <w:bCs/>
          <w:sz w:val="32"/>
          <w:szCs w:val="32"/>
          <w:lang w:val="en-US" w:eastAsia="zh-CN"/>
        </w:rPr>
        <w:t>）。T3处理积累了最高的叶绿素a、总叶绿素和类胡萝卜素含量。T2处理的叶绿素b含量显著高于T1和CK，与T3无显著差异。值得注意的是，CK处理的Chl a/b比值最高，而T1处理该比值最低，表明不施肥环境下光合机构可能发生适应性调整，而早期供肥则</w:t>
      </w:r>
      <w:r>
        <w:rPr>
          <w:rStyle w:val="8"/>
          <w:rFonts w:hint="eastAsia" w:eastAsia="方正仿宋_GB2312" w:cstheme="minorBidi"/>
          <w:b w:val="0"/>
          <w:bCs/>
          <w:sz w:val="32"/>
          <w:szCs w:val="32"/>
          <w:lang w:val="en-US" w:eastAsia="zh-CN"/>
        </w:rPr>
        <w:t>更</w:t>
      </w:r>
      <w:r>
        <w:rPr>
          <w:rStyle w:val="8"/>
          <w:rFonts w:hint="default" w:eastAsia="方正仿宋_GB2312" w:cstheme="minorBidi"/>
          <w:b w:val="0"/>
          <w:bCs/>
          <w:sz w:val="32"/>
          <w:szCs w:val="32"/>
          <w:lang w:val="en-US" w:eastAsia="zh-CN"/>
        </w:rPr>
        <w:t>有利于</w:t>
      </w:r>
      <w:r>
        <w:rPr>
          <w:rStyle w:val="8"/>
          <w:rFonts w:hint="eastAsia" w:eastAsia="方正仿宋_GB2312" w:cstheme="minorBidi"/>
          <w:b w:val="0"/>
          <w:bCs/>
          <w:sz w:val="32"/>
          <w:szCs w:val="32"/>
          <w:lang w:val="en-US" w:eastAsia="zh-CN"/>
        </w:rPr>
        <w:t>光能捕获</w:t>
      </w:r>
      <w:r>
        <w:rPr>
          <w:rStyle w:val="8"/>
          <w:rFonts w:hint="default" w:eastAsia="方正仿宋_GB2312" w:cstheme="minorBidi"/>
          <w:b w:val="0"/>
          <w:bCs/>
          <w:sz w:val="32"/>
          <w:szCs w:val="32"/>
          <w:lang w:val="en-US" w:eastAsia="zh-CN"/>
        </w:rPr>
        <w:t>。</w:t>
      </w:r>
    </w:p>
    <w:p w14:paraId="3F2A475F">
      <w:pPr>
        <w:numPr>
          <w:ilvl w:val="2"/>
          <w:numId w:val="1"/>
        </w:numPr>
        <w:spacing w:before="156" w:beforeLines="50" w:after="156" w:afterLines="50"/>
        <w:ind w:left="0" w:leftChars="0" w:firstLine="0" w:firstLineChars="0"/>
        <w:outlineLvl w:val="2"/>
        <w:rPr>
          <w:rStyle w:val="8"/>
          <w:rFonts w:hint="eastAsia"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主成分分析和综合评价</w:t>
      </w:r>
    </w:p>
    <w:p w14:paraId="5E624F86">
      <w:pPr>
        <w:numPr>
          <w:ilvl w:val="0"/>
          <w:numId w:val="0"/>
        </w:numPr>
        <w:spacing w:before="156" w:beforeLines="50" w:after="156" w:afterLines="50"/>
        <w:ind w:leftChars="0"/>
        <w:jc w:val="center"/>
        <w:outlineLvl w:val="2"/>
        <w:rPr>
          <w:rStyle w:val="8"/>
          <w:rFonts w:hint="default" w:eastAsia="方正仿宋_GB2312" w:cstheme="minorBidi"/>
          <w:b/>
          <w:bCs w:val="0"/>
          <w:sz w:val="32"/>
          <w:szCs w:val="32"/>
          <w:lang w:val="en-US" w:eastAsia="zh-CN"/>
        </w:rPr>
      </w:pPr>
      <w:r>
        <w:rPr>
          <w:rStyle w:val="8"/>
          <w:rFonts w:hint="eastAsia" w:ascii="黑体" w:hAnsi="黑体" w:eastAsia="黑体" w:cs="黑体"/>
          <w:b w:val="0"/>
          <w:bCs/>
          <w:sz w:val="21"/>
          <w:szCs w:val="21"/>
          <w:lang w:val="en-US" w:eastAsia="zh-CN"/>
        </w:rPr>
        <w:t>表10 主成分特征向量、特征值及贡献率</w:t>
      </w:r>
    </w:p>
    <w:tbl>
      <w:tblPr>
        <w:tblStyle w:val="3"/>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630"/>
        <w:gridCol w:w="1890"/>
        <w:gridCol w:w="1890"/>
      </w:tblGrid>
      <w:tr w14:paraId="31B5DE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jc w:val="center"/>
        </w:trPr>
        <w:tc>
          <w:tcPr>
            <w:tcW w:w="0" w:type="auto"/>
            <w:tcBorders>
              <w:bottom w:val="single" w:color="auto" w:sz="4" w:space="0"/>
            </w:tcBorders>
            <w:shd w:val="clear" w:color="auto" w:fill="FFFFFF"/>
            <w:tcMar>
              <w:top w:w="100" w:type="dxa"/>
              <w:left w:w="0" w:type="dxa"/>
              <w:bottom w:w="100" w:type="dxa"/>
              <w:right w:w="160" w:type="dxa"/>
            </w:tcMar>
            <w:vAlign w:val="center"/>
          </w:tcPr>
          <w:p w14:paraId="6A2A5C8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测定指标</w:t>
            </w:r>
          </w:p>
        </w:tc>
        <w:tc>
          <w:tcPr>
            <w:tcW w:w="0" w:type="auto"/>
            <w:tcBorders>
              <w:bottom w:val="single" w:color="auto" w:sz="4" w:space="0"/>
            </w:tcBorders>
            <w:shd w:val="clear" w:color="auto" w:fill="FFFFFF"/>
            <w:tcMar>
              <w:top w:w="100" w:type="dxa"/>
              <w:left w:w="160" w:type="dxa"/>
              <w:bottom w:w="100" w:type="dxa"/>
              <w:right w:w="160" w:type="dxa"/>
            </w:tcMar>
            <w:vAlign w:val="center"/>
          </w:tcPr>
          <w:p w14:paraId="7D3CD7C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主成分1（PC1）</w:t>
            </w:r>
          </w:p>
        </w:tc>
        <w:tc>
          <w:tcPr>
            <w:tcW w:w="0" w:type="auto"/>
            <w:tcBorders>
              <w:bottom w:val="single" w:color="auto" w:sz="4" w:space="0"/>
            </w:tcBorders>
            <w:shd w:val="clear" w:color="auto" w:fill="FFFFFF"/>
            <w:tcMar>
              <w:top w:w="100" w:type="dxa"/>
              <w:left w:w="160" w:type="dxa"/>
              <w:bottom w:w="100" w:type="dxa"/>
              <w:right w:w="160" w:type="dxa"/>
            </w:tcMar>
            <w:vAlign w:val="center"/>
          </w:tcPr>
          <w:p w14:paraId="00E77CCE">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主成分2（PC2）</w:t>
            </w:r>
          </w:p>
        </w:tc>
      </w:tr>
      <w:tr w14:paraId="796225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single" w:color="auto" w:sz="4" w:space="0"/>
            </w:tcBorders>
            <w:shd w:val="clear" w:color="auto" w:fill="FFFFFF"/>
            <w:tcMar>
              <w:top w:w="100" w:type="dxa"/>
              <w:left w:w="0" w:type="dxa"/>
              <w:bottom w:w="100" w:type="dxa"/>
              <w:right w:w="160" w:type="dxa"/>
            </w:tcMar>
            <w:vAlign w:val="center"/>
          </w:tcPr>
          <w:p w14:paraId="79FA1FC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株高</w:t>
            </w:r>
          </w:p>
        </w:tc>
        <w:tc>
          <w:tcPr>
            <w:tcW w:w="0" w:type="auto"/>
            <w:tcBorders>
              <w:top w:val="single" w:color="auto" w:sz="4" w:space="0"/>
            </w:tcBorders>
            <w:shd w:val="clear" w:color="auto" w:fill="FFFFFF"/>
            <w:tcMar>
              <w:top w:w="100" w:type="dxa"/>
              <w:left w:w="160" w:type="dxa"/>
              <w:bottom w:w="100" w:type="dxa"/>
              <w:right w:w="160" w:type="dxa"/>
            </w:tcMar>
            <w:vAlign w:val="center"/>
          </w:tcPr>
          <w:p w14:paraId="0FC5A5E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0.851</w:t>
            </w:r>
          </w:p>
        </w:tc>
        <w:tc>
          <w:tcPr>
            <w:tcW w:w="0" w:type="auto"/>
            <w:tcBorders>
              <w:top w:val="single" w:color="auto" w:sz="4" w:space="0"/>
            </w:tcBorders>
            <w:shd w:val="clear" w:color="auto" w:fill="FFFFFF"/>
            <w:tcMar>
              <w:top w:w="100" w:type="dxa"/>
              <w:left w:w="160" w:type="dxa"/>
              <w:bottom w:w="100" w:type="dxa"/>
              <w:right w:w="0" w:type="dxa"/>
            </w:tcMar>
            <w:vAlign w:val="center"/>
          </w:tcPr>
          <w:p w14:paraId="2138C0D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0.327</w:t>
            </w:r>
          </w:p>
        </w:tc>
      </w:tr>
      <w:tr w14:paraId="276BC4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7218CD9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茎粗</w:t>
            </w:r>
          </w:p>
        </w:tc>
        <w:tc>
          <w:tcPr>
            <w:tcW w:w="0" w:type="auto"/>
            <w:shd w:val="clear" w:color="auto" w:fill="FFFFFF"/>
            <w:tcMar>
              <w:top w:w="100" w:type="dxa"/>
              <w:left w:w="160" w:type="dxa"/>
              <w:bottom w:w="100" w:type="dxa"/>
              <w:right w:w="160" w:type="dxa"/>
            </w:tcMar>
            <w:vAlign w:val="center"/>
          </w:tcPr>
          <w:p w14:paraId="2432A0F6">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0.927</w:t>
            </w:r>
          </w:p>
        </w:tc>
        <w:tc>
          <w:tcPr>
            <w:tcW w:w="0" w:type="auto"/>
            <w:shd w:val="clear" w:color="auto" w:fill="FFFFFF"/>
            <w:tcMar>
              <w:top w:w="100" w:type="dxa"/>
              <w:left w:w="160" w:type="dxa"/>
              <w:bottom w:w="100" w:type="dxa"/>
              <w:right w:w="0" w:type="dxa"/>
            </w:tcMar>
            <w:vAlign w:val="center"/>
          </w:tcPr>
          <w:p w14:paraId="2E7EC7B2">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-0.214</w:t>
            </w:r>
          </w:p>
        </w:tc>
      </w:tr>
      <w:tr w14:paraId="677E03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6825684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全株干重</w:t>
            </w:r>
          </w:p>
        </w:tc>
        <w:tc>
          <w:tcPr>
            <w:tcW w:w="0" w:type="auto"/>
            <w:shd w:val="clear" w:color="auto" w:fill="FFFFFF"/>
            <w:tcMar>
              <w:top w:w="100" w:type="dxa"/>
              <w:left w:w="160" w:type="dxa"/>
              <w:bottom w:w="100" w:type="dxa"/>
              <w:right w:w="160" w:type="dxa"/>
            </w:tcMar>
            <w:vAlign w:val="center"/>
          </w:tcPr>
          <w:p w14:paraId="0E2BEC8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0.961</w:t>
            </w:r>
          </w:p>
        </w:tc>
        <w:tc>
          <w:tcPr>
            <w:tcW w:w="0" w:type="auto"/>
            <w:shd w:val="clear" w:color="auto" w:fill="FFFFFF"/>
            <w:tcMar>
              <w:top w:w="100" w:type="dxa"/>
              <w:left w:w="160" w:type="dxa"/>
              <w:bottom w:w="100" w:type="dxa"/>
              <w:right w:w="0" w:type="dxa"/>
            </w:tcMar>
            <w:vAlign w:val="center"/>
          </w:tcPr>
          <w:p w14:paraId="7A5AC6C3">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-0.138</w:t>
            </w:r>
          </w:p>
        </w:tc>
      </w:tr>
      <w:tr w14:paraId="6A257F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6A68B4D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总根长</w:t>
            </w:r>
          </w:p>
        </w:tc>
        <w:tc>
          <w:tcPr>
            <w:tcW w:w="0" w:type="auto"/>
            <w:shd w:val="clear" w:color="auto" w:fill="FFFFFF"/>
            <w:tcMar>
              <w:top w:w="100" w:type="dxa"/>
              <w:left w:w="160" w:type="dxa"/>
              <w:bottom w:w="100" w:type="dxa"/>
              <w:right w:w="160" w:type="dxa"/>
            </w:tcMar>
            <w:vAlign w:val="center"/>
          </w:tcPr>
          <w:p w14:paraId="5D89902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0.942</w:t>
            </w:r>
          </w:p>
        </w:tc>
        <w:tc>
          <w:tcPr>
            <w:tcW w:w="0" w:type="auto"/>
            <w:shd w:val="clear" w:color="auto" w:fill="FFFFFF"/>
            <w:tcMar>
              <w:top w:w="100" w:type="dxa"/>
              <w:left w:w="160" w:type="dxa"/>
              <w:bottom w:w="100" w:type="dxa"/>
              <w:right w:w="0" w:type="dxa"/>
            </w:tcMar>
            <w:vAlign w:val="center"/>
          </w:tcPr>
          <w:p w14:paraId="41003F90">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-0.185</w:t>
            </w:r>
          </w:p>
        </w:tc>
      </w:tr>
      <w:tr w14:paraId="0D1AD2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31FFC12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根表面积</w:t>
            </w:r>
          </w:p>
        </w:tc>
        <w:tc>
          <w:tcPr>
            <w:tcW w:w="0" w:type="auto"/>
            <w:shd w:val="clear" w:color="auto" w:fill="FFFFFF"/>
            <w:tcMar>
              <w:top w:w="100" w:type="dxa"/>
              <w:left w:w="160" w:type="dxa"/>
              <w:bottom w:w="100" w:type="dxa"/>
              <w:right w:w="160" w:type="dxa"/>
            </w:tcMar>
            <w:vAlign w:val="center"/>
          </w:tcPr>
          <w:p w14:paraId="62C7607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0.955</w:t>
            </w:r>
          </w:p>
        </w:tc>
        <w:tc>
          <w:tcPr>
            <w:tcW w:w="0" w:type="auto"/>
            <w:shd w:val="clear" w:color="auto" w:fill="FFFFFF"/>
            <w:tcMar>
              <w:top w:w="100" w:type="dxa"/>
              <w:left w:w="160" w:type="dxa"/>
              <w:bottom w:w="100" w:type="dxa"/>
              <w:right w:w="0" w:type="dxa"/>
            </w:tcMar>
            <w:vAlign w:val="center"/>
          </w:tcPr>
          <w:p w14:paraId="4890403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-0.178</w:t>
            </w:r>
          </w:p>
        </w:tc>
      </w:tr>
      <w:tr w14:paraId="5CCB11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35A4590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根体积</w:t>
            </w:r>
          </w:p>
        </w:tc>
        <w:tc>
          <w:tcPr>
            <w:tcW w:w="0" w:type="auto"/>
            <w:shd w:val="clear" w:color="auto" w:fill="FFFFFF"/>
            <w:tcMar>
              <w:top w:w="100" w:type="dxa"/>
              <w:left w:w="160" w:type="dxa"/>
              <w:bottom w:w="100" w:type="dxa"/>
              <w:right w:w="160" w:type="dxa"/>
            </w:tcMar>
            <w:vAlign w:val="center"/>
          </w:tcPr>
          <w:p w14:paraId="6DDA5AE9">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0.933</w:t>
            </w:r>
          </w:p>
        </w:tc>
        <w:tc>
          <w:tcPr>
            <w:tcW w:w="0" w:type="auto"/>
            <w:shd w:val="clear" w:color="auto" w:fill="FFFFFF"/>
            <w:tcMar>
              <w:top w:w="100" w:type="dxa"/>
              <w:left w:w="160" w:type="dxa"/>
              <w:bottom w:w="100" w:type="dxa"/>
              <w:right w:w="0" w:type="dxa"/>
            </w:tcMar>
            <w:vAlign w:val="center"/>
          </w:tcPr>
          <w:p w14:paraId="688A899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-0.201</w:t>
            </w:r>
          </w:p>
        </w:tc>
      </w:tr>
      <w:tr w14:paraId="0733DC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2806C612">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根平均直径</w:t>
            </w:r>
          </w:p>
        </w:tc>
        <w:tc>
          <w:tcPr>
            <w:tcW w:w="0" w:type="auto"/>
            <w:shd w:val="clear" w:color="auto" w:fill="FFFFFF"/>
            <w:tcMar>
              <w:top w:w="100" w:type="dxa"/>
              <w:left w:w="160" w:type="dxa"/>
              <w:bottom w:w="100" w:type="dxa"/>
              <w:right w:w="160" w:type="dxa"/>
            </w:tcMar>
            <w:vAlign w:val="center"/>
          </w:tcPr>
          <w:p w14:paraId="4E712436">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-0.105</w:t>
            </w:r>
          </w:p>
        </w:tc>
        <w:tc>
          <w:tcPr>
            <w:tcW w:w="0" w:type="auto"/>
            <w:shd w:val="clear" w:color="auto" w:fill="FFFFFF"/>
            <w:tcMar>
              <w:top w:w="100" w:type="dxa"/>
              <w:left w:w="160" w:type="dxa"/>
              <w:bottom w:w="100" w:type="dxa"/>
              <w:right w:w="0" w:type="dxa"/>
            </w:tcMar>
            <w:vAlign w:val="center"/>
          </w:tcPr>
          <w:p w14:paraId="3D345A4C">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0.884</w:t>
            </w:r>
          </w:p>
        </w:tc>
      </w:tr>
      <w:tr w14:paraId="2D72D6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0CEBC4B6">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根尖数</w:t>
            </w:r>
          </w:p>
        </w:tc>
        <w:tc>
          <w:tcPr>
            <w:tcW w:w="0" w:type="auto"/>
            <w:shd w:val="clear" w:color="auto" w:fill="FFFFFF"/>
            <w:tcMar>
              <w:top w:w="100" w:type="dxa"/>
              <w:left w:w="160" w:type="dxa"/>
              <w:bottom w:w="100" w:type="dxa"/>
              <w:right w:w="160" w:type="dxa"/>
            </w:tcMar>
            <w:vAlign w:val="center"/>
          </w:tcPr>
          <w:p w14:paraId="05D4454D">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0.286</w:t>
            </w:r>
          </w:p>
        </w:tc>
        <w:tc>
          <w:tcPr>
            <w:tcW w:w="0" w:type="auto"/>
            <w:shd w:val="clear" w:color="auto" w:fill="FFFFFF"/>
            <w:tcMar>
              <w:top w:w="100" w:type="dxa"/>
              <w:left w:w="160" w:type="dxa"/>
              <w:bottom w:w="100" w:type="dxa"/>
              <w:right w:w="0" w:type="dxa"/>
            </w:tcMar>
            <w:vAlign w:val="center"/>
          </w:tcPr>
          <w:p w14:paraId="4945689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0.812</w:t>
            </w:r>
          </w:p>
        </w:tc>
      </w:tr>
      <w:tr w14:paraId="1929B5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1EA1471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根系活力</w:t>
            </w:r>
          </w:p>
        </w:tc>
        <w:tc>
          <w:tcPr>
            <w:tcW w:w="0" w:type="auto"/>
            <w:shd w:val="clear" w:color="auto" w:fill="FFFFFF"/>
            <w:tcMar>
              <w:top w:w="100" w:type="dxa"/>
              <w:left w:w="160" w:type="dxa"/>
              <w:bottom w:w="100" w:type="dxa"/>
              <w:right w:w="160" w:type="dxa"/>
            </w:tcMar>
            <w:vAlign w:val="center"/>
          </w:tcPr>
          <w:p w14:paraId="25195E4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0.788</w:t>
            </w:r>
          </w:p>
        </w:tc>
        <w:tc>
          <w:tcPr>
            <w:tcW w:w="0" w:type="auto"/>
            <w:shd w:val="clear" w:color="auto" w:fill="FFFFFF"/>
            <w:tcMar>
              <w:top w:w="100" w:type="dxa"/>
              <w:left w:w="160" w:type="dxa"/>
              <w:bottom w:w="100" w:type="dxa"/>
              <w:right w:w="0" w:type="dxa"/>
            </w:tcMar>
            <w:vAlign w:val="center"/>
          </w:tcPr>
          <w:p w14:paraId="063A74C2">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0.415</w:t>
            </w:r>
          </w:p>
        </w:tc>
      </w:tr>
      <w:tr w14:paraId="57A811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6DF2464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叶绿素a</w:t>
            </w:r>
          </w:p>
        </w:tc>
        <w:tc>
          <w:tcPr>
            <w:tcW w:w="0" w:type="auto"/>
            <w:shd w:val="clear" w:color="auto" w:fill="FFFFFF"/>
            <w:tcMar>
              <w:top w:w="100" w:type="dxa"/>
              <w:left w:w="160" w:type="dxa"/>
              <w:bottom w:w="100" w:type="dxa"/>
              <w:right w:w="160" w:type="dxa"/>
            </w:tcMar>
            <w:vAlign w:val="center"/>
          </w:tcPr>
          <w:p w14:paraId="4B645538">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0.901</w:t>
            </w:r>
          </w:p>
        </w:tc>
        <w:tc>
          <w:tcPr>
            <w:tcW w:w="0" w:type="auto"/>
            <w:shd w:val="clear" w:color="auto" w:fill="FFFFFF"/>
            <w:tcMar>
              <w:top w:w="100" w:type="dxa"/>
              <w:left w:w="160" w:type="dxa"/>
              <w:bottom w:w="100" w:type="dxa"/>
              <w:right w:w="0" w:type="dxa"/>
            </w:tcMar>
            <w:vAlign w:val="center"/>
          </w:tcPr>
          <w:p w14:paraId="53F13F12">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0.235</w:t>
            </w:r>
          </w:p>
        </w:tc>
      </w:tr>
      <w:tr w14:paraId="179664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3406DA0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叶绿素b</w:t>
            </w:r>
          </w:p>
        </w:tc>
        <w:tc>
          <w:tcPr>
            <w:tcW w:w="0" w:type="auto"/>
            <w:shd w:val="clear" w:color="auto" w:fill="FFFFFF"/>
            <w:tcMar>
              <w:top w:w="100" w:type="dxa"/>
              <w:left w:w="160" w:type="dxa"/>
              <w:bottom w:w="100" w:type="dxa"/>
              <w:right w:w="160" w:type="dxa"/>
            </w:tcMar>
            <w:vAlign w:val="center"/>
          </w:tcPr>
          <w:p w14:paraId="7E7A23E0">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0.825</w:t>
            </w:r>
          </w:p>
        </w:tc>
        <w:tc>
          <w:tcPr>
            <w:tcW w:w="0" w:type="auto"/>
            <w:shd w:val="clear" w:color="auto" w:fill="FFFFFF"/>
            <w:tcMar>
              <w:top w:w="100" w:type="dxa"/>
              <w:left w:w="160" w:type="dxa"/>
              <w:bottom w:w="100" w:type="dxa"/>
              <w:right w:w="0" w:type="dxa"/>
            </w:tcMar>
            <w:vAlign w:val="center"/>
          </w:tcPr>
          <w:p w14:paraId="1B14D11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0.442</w:t>
            </w:r>
          </w:p>
        </w:tc>
      </w:tr>
      <w:tr w14:paraId="3B9E26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3EF8FCF0">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总叶绿素</w:t>
            </w:r>
          </w:p>
        </w:tc>
        <w:tc>
          <w:tcPr>
            <w:tcW w:w="0" w:type="auto"/>
            <w:shd w:val="clear" w:color="auto" w:fill="FFFFFF"/>
            <w:tcMar>
              <w:top w:w="100" w:type="dxa"/>
              <w:left w:w="160" w:type="dxa"/>
              <w:bottom w:w="100" w:type="dxa"/>
              <w:right w:w="160" w:type="dxa"/>
            </w:tcMar>
            <w:vAlign w:val="center"/>
          </w:tcPr>
          <w:p w14:paraId="35BF48E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0.890</w:t>
            </w:r>
          </w:p>
        </w:tc>
        <w:tc>
          <w:tcPr>
            <w:tcW w:w="0" w:type="auto"/>
            <w:shd w:val="clear" w:color="auto" w:fill="FFFFFF"/>
            <w:tcMar>
              <w:top w:w="100" w:type="dxa"/>
              <w:left w:w="160" w:type="dxa"/>
              <w:bottom w:w="100" w:type="dxa"/>
              <w:right w:w="0" w:type="dxa"/>
            </w:tcMar>
            <w:vAlign w:val="center"/>
          </w:tcPr>
          <w:p w14:paraId="40462AB3">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0.318</w:t>
            </w:r>
          </w:p>
        </w:tc>
      </w:tr>
      <w:tr w14:paraId="13968B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118C5F5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类胡萝卜素</w:t>
            </w:r>
          </w:p>
        </w:tc>
        <w:tc>
          <w:tcPr>
            <w:tcW w:w="0" w:type="auto"/>
            <w:shd w:val="clear" w:color="auto" w:fill="FFFFFF"/>
            <w:tcMar>
              <w:top w:w="100" w:type="dxa"/>
              <w:left w:w="160" w:type="dxa"/>
              <w:bottom w:w="100" w:type="dxa"/>
              <w:right w:w="160" w:type="dxa"/>
            </w:tcMar>
            <w:vAlign w:val="center"/>
          </w:tcPr>
          <w:p w14:paraId="2C90802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0.870</w:t>
            </w:r>
          </w:p>
        </w:tc>
        <w:tc>
          <w:tcPr>
            <w:tcW w:w="0" w:type="auto"/>
            <w:shd w:val="clear" w:color="auto" w:fill="FFFFFF"/>
            <w:tcMar>
              <w:top w:w="100" w:type="dxa"/>
              <w:left w:w="160" w:type="dxa"/>
              <w:bottom w:w="100" w:type="dxa"/>
              <w:right w:w="0" w:type="dxa"/>
            </w:tcMar>
            <w:vAlign w:val="center"/>
          </w:tcPr>
          <w:p w14:paraId="5474234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0.281</w:t>
            </w:r>
          </w:p>
        </w:tc>
      </w:tr>
      <w:tr w14:paraId="61DFB7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57E2DB0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Chl a/b 比值</w:t>
            </w:r>
          </w:p>
        </w:tc>
        <w:tc>
          <w:tcPr>
            <w:tcW w:w="0" w:type="auto"/>
            <w:shd w:val="clear" w:color="auto" w:fill="FFFFFF"/>
            <w:tcMar>
              <w:top w:w="100" w:type="dxa"/>
              <w:left w:w="160" w:type="dxa"/>
              <w:bottom w:w="100" w:type="dxa"/>
              <w:right w:w="160" w:type="dxa"/>
            </w:tcMar>
            <w:vAlign w:val="center"/>
          </w:tcPr>
          <w:p w14:paraId="2EDD47E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0.225</w:t>
            </w:r>
          </w:p>
        </w:tc>
        <w:tc>
          <w:tcPr>
            <w:tcW w:w="0" w:type="auto"/>
            <w:shd w:val="clear" w:color="auto" w:fill="FFFFFF"/>
            <w:tcMar>
              <w:top w:w="100" w:type="dxa"/>
              <w:left w:w="160" w:type="dxa"/>
              <w:bottom w:w="100" w:type="dxa"/>
              <w:right w:w="0" w:type="dxa"/>
            </w:tcMar>
            <w:vAlign w:val="center"/>
          </w:tcPr>
          <w:p w14:paraId="63DD34F9">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-0.751</w:t>
            </w:r>
          </w:p>
        </w:tc>
      </w:tr>
      <w:tr w14:paraId="07DCCE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3C0A8BC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特征值</w:t>
            </w:r>
          </w:p>
        </w:tc>
        <w:tc>
          <w:tcPr>
            <w:tcW w:w="0" w:type="auto"/>
            <w:shd w:val="clear" w:color="auto" w:fill="FFFFFF"/>
            <w:tcMar>
              <w:top w:w="100" w:type="dxa"/>
              <w:left w:w="160" w:type="dxa"/>
              <w:bottom w:w="100" w:type="dxa"/>
              <w:right w:w="160" w:type="dxa"/>
            </w:tcMar>
            <w:vAlign w:val="center"/>
          </w:tcPr>
          <w:p w14:paraId="497C8DC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9.968</w:t>
            </w:r>
          </w:p>
        </w:tc>
        <w:tc>
          <w:tcPr>
            <w:tcW w:w="0" w:type="auto"/>
            <w:shd w:val="clear" w:color="auto" w:fill="FFFFFF"/>
            <w:tcMar>
              <w:top w:w="100" w:type="dxa"/>
              <w:left w:w="160" w:type="dxa"/>
              <w:bottom w:w="100" w:type="dxa"/>
              <w:right w:w="0" w:type="dxa"/>
            </w:tcMar>
            <w:vAlign w:val="center"/>
          </w:tcPr>
          <w:p w14:paraId="13A19024">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2.421</w:t>
            </w:r>
          </w:p>
        </w:tc>
      </w:tr>
      <w:tr w14:paraId="39D5AE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65B6996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方差贡献率 (%)</w:t>
            </w:r>
          </w:p>
        </w:tc>
        <w:tc>
          <w:tcPr>
            <w:tcW w:w="0" w:type="auto"/>
            <w:shd w:val="clear" w:color="auto" w:fill="FFFFFF"/>
            <w:tcMar>
              <w:top w:w="100" w:type="dxa"/>
              <w:left w:w="160" w:type="dxa"/>
              <w:bottom w:w="100" w:type="dxa"/>
              <w:right w:w="160" w:type="dxa"/>
            </w:tcMar>
            <w:vAlign w:val="center"/>
          </w:tcPr>
          <w:p w14:paraId="37F25D4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71.20</w:t>
            </w:r>
          </w:p>
        </w:tc>
        <w:tc>
          <w:tcPr>
            <w:tcW w:w="0" w:type="auto"/>
            <w:shd w:val="clear" w:color="auto" w:fill="FFFFFF"/>
            <w:tcMar>
              <w:top w:w="100" w:type="dxa"/>
              <w:left w:w="160" w:type="dxa"/>
              <w:bottom w:w="100" w:type="dxa"/>
              <w:right w:w="0" w:type="dxa"/>
            </w:tcMar>
            <w:vAlign w:val="center"/>
          </w:tcPr>
          <w:p w14:paraId="10A2B6D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17.30</w:t>
            </w:r>
          </w:p>
        </w:tc>
      </w:tr>
      <w:tr w14:paraId="6E44F8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cMar>
              <w:top w:w="100" w:type="dxa"/>
              <w:left w:w="0" w:type="dxa"/>
              <w:bottom w:w="100" w:type="dxa"/>
              <w:right w:w="160" w:type="dxa"/>
            </w:tcMar>
            <w:vAlign w:val="center"/>
          </w:tcPr>
          <w:p w14:paraId="315EB8F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累积贡献率 (%)</w:t>
            </w:r>
          </w:p>
        </w:tc>
        <w:tc>
          <w:tcPr>
            <w:tcW w:w="0" w:type="auto"/>
            <w:shd w:val="clear" w:color="auto" w:fill="FFFFFF"/>
            <w:tcMar>
              <w:top w:w="100" w:type="dxa"/>
              <w:left w:w="160" w:type="dxa"/>
              <w:bottom w:w="100" w:type="dxa"/>
              <w:right w:w="160" w:type="dxa"/>
            </w:tcMar>
            <w:vAlign w:val="center"/>
          </w:tcPr>
          <w:p w14:paraId="11CEADB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71.20</w:t>
            </w:r>
          </w:p>
        </w:tc>
        <w:tc>
          <w:tcPr>
            <w:tcW w:w="0" w:type="auto"/>
            <w:shd w:val="clear" w:color="auto" w:fill="FFFFFF"/>
            <w:tcMar>
              <w:top w:w="100" w:type="dxa"/>
              <w:left w:w="160" w:type="dxa"/>
              <w:bottom w:w="100" w:type="dxa"/>
              <w:right w:w="0" w:type="dxa"/>
            </w:tcMar>
            <w:vAlign w:val="center"/>
          </w:tcPr>
          <w:p w14:paraId="0112B1F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88.50</w:t>
            </w:r>
          </w:p>
        </w:tc>
      </w:tr>
    </w:tbl>
    <w:p w14:paraId="5D6E28BB">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对14个指标进行主成分分析。前两个主成分（PC1和PC2）的累积方差贡献率达88.5%，能充分反映原始信息。PC1（贡献率71.2%）在总根长、根表面积、全株干重、茎粗、叶绿素a等指标上具有高载荷，主要代表植株的整体生长与积累能力。PC2（贡献率17.3%）在根平均直径、根尖数和Chl a/b比值上具有高载荷，主要代表根系的早期构型特征与光合机构的初始发育。</w:t>
      </w:r>
    </w:p>
    <w:p w14:paraId="779944C0">
      <w:pPr>
        <w:numPr>
          <w:ilvl w:val="0"/>
          <w:numId w:val="0"/>
        </w:numPr>
        <w:spacing w:before="156" w:beforeLines="50" w:after="156" w:afterLines="50"/>
        <w:jc w:val="center"/>
        <w:outlineLvl w:val="2"/>
        <w:rPr>
          <w:rStyle w:val="8"/>
          <w:rFonts w:hint="eastAsia" w:ascii="黑体" w:hAnsi="黑体" w:eastAsia="黑体" w:cs="黑体"/>
          <w:b w:val="0"/>
          <w:bCs/>
          <w:sz w:val="21"/>
          <w:szCs w:val="21"/>
          <w:lang w:val="en-US" w:eastAsia="zh-CN"/>
        </w:rPr>
      </w:pPr>
      <w:r>
        <w:rPr>
          <w:rStyle w:val="8"/>
          <w:rFonts w:hint="eastAsia" w:ascii="黑体" w:hAnsi="黑体" w:eastAsia="黑体" w:cs="黑体"/>
          <w:b w:val="0"/>
          <w:bCs/>
          <w:sz w:val="21"/>
          <w:szCs w:val="21"/>
          <w:lang w:val="en-US" w:eastAsia="zh-CN"/>
        </w:rPr>
        <w:t>表11 各处理在主成分上的得分及综合排名</w:t>
      </w:r>
    </w:p>
    <w:tbl>
      <w:tblPr>
        <w:tblStyle w:val="3"/>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810"/>
        <w:gridCol w:w="1720"/>
        <w:gridCol w:w="1720"/>
        <w:gridCol w:w="2110"/>
        <w:gridCol w:w="1103"/>
      </w:tblGrid>
      <w:tr w14:paraId="47CD51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1069" w:type="pct"/>
            <w:tcBorders>
              <w:bottom w:val="single" w:color="auto" w:sz="4" w:space="0"/>
            </w:tcBorders>
            <w:shd w:val="clear" w:color="auto" w:fill="FFFFFF"/>
            <w:tcMar>
              <w:top w:w="100" w:type="dxa"/>
              <w:left w:w="0" w:type="dxa"/>
              <w:bottom w:w="100" w:type="dxa"/>
              <w:right w:w="160" w:type="dxa"/>
            </w:tcMar>
            <w:vAlign w:val="center"/>
          </w:tcPr>
          <w:p w14:paraId="4DFDB38D">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处理</w:t>
            </w:r>
          </w:p>
        </w:tc>
        <w:tc>
          <w:tcPr>
            <w:tcW w:w="1016" w:type="pct"/>
            <w:tcBorders>
              <w:bottom w:val="single" w:color="auto" w:sz="4" w:space="0"/>
            </w:tcBorders>
            <w:shd w:val="clear" w:color="auto" w:fill="FFFFFF"/>
            <w:tcMar>
              <w:top w:w="100" w:type="dxa"/>
              <w:left w:w="160" w:type="dxa"/>
              <w:bottom w:w="100" w:type="dxa"/>
              <w:right w:w="160" w:type="dxa"/>
            </w:tcMar>
            <w:vAlign w:val="center"/>
          </w:tcPr>
          <w:p w14:paraId="4CC5A52C">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PC1得分</w:t>
            </w:r>
          </w:p>
        </w:tc>
        <w:tc>
          <w:tcPr>
            <w:tcW w:w="1016" w:type="pct"/>
            <w:tcBorders>
              <w:bottom w:val="single" w:color="auto" w:sz="4" w:space="0"/>
            </w:tcBorders>
            <w:shd w:val="clear" w:color="auto" w:fill="FFFFFF"/>
            <w:tcMar>
              <w:top w:w="100" w:type="dxa"/>
              <w:left w:w="160" w:type="dxa"/>
              <w:bottom w:w="100" w:type="dxa"/>
              <w:right w:w="160" w:type="dxa"/>
            </w:tcMar>
            <w:vAlign w:val="center"/>
          </w:tcPr>
          <w:p w14:paraId="59E437C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PC2得分</w:t>
            </w:r>
          </w:p>
        </w:tc>
        <w:tc>
          <w:tcPr>
            <w:tcW w:w="1246" w:type="pct"/>
            <w:tcBorders>
              <w:bottom w:val="single" w:color="auto" w:sz="4" w:space="0"/>
            </w:tcBorders>
            <w:shd w:val="clear" w:color="auto" w:fill="FFFFFF"/>
            <w:tcMar>
              <w:top w:w="100" w:type="dxa"/>
              <w:left w:w="160" w:type="dxa"/>
              <w:bottom w:w="100" w:type="dxa"/>
              <w:right w:w="160" w:type="dxa"/>
            </w:tcMar>
            <w:vAlign w:val="center"/>
          </w:tcPr>
          <w:p w14:paraId="641F1495">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综合得分(F)</w:t>
            </w:r>
          </w:p>
        </w:tc>
        <w:tc>
          <w:tcPr>
            <w:tcW w:w="651" w:type="pct"/>
            <w:tcBorders>
              <w:bottom w:val="single" w:color="auto" w:sz="4" w:space="0"/>
            </w:tcBorders>
            <w:shd w:val="clear" w:color="auto" w:fill="FFFFFF"/>
            <w:tcMar>
              <w:top w:w="100" w:type="dxa"/>
              <w:left w:w="160" w:type="dxa"/>
              <w:bottom w:w="100" w:type="dxa"/>
              <w:right w:w="160" w:type="dxa"/>
            </w:tcMar>
            <w:vAlign w:val="center"/>
          </w:tcPr>
          <w:p w14:paraId="6DAA4DF9">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排名</w:t>
            </w:r>
          </w:p>
        </w:tc>
      </w:tr>
      <w:tr w14:paraId="3F9006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069" w:type="pct"/>
            <w:tcBorders>
              <w:top w:val="single" w:color="auto" w:sz="4" w:space="0"/>
            </w:tcBorders>
            <w:shd w:val="clear" w:color="auto" w:fill="FFFFFF"/>
            <w:tcMar>
              <w:top w:w="100" w:type="dxa"/>
              <w:left w:w="0" w:type="dxa"/>
              <w:bottom w:w="100" w:type="dxa"/>
              <w:right w:w="160" w:type="dxa"/>
            </w:tcMar>
            <w:vAlign w:val="center"/>
          </w:tcPr>
          <w:p w14:paraId="64E4626D">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T3</w:t>
            </w:r>
          </w:p>
        </w:tc>
        <w:tc>
          <w:tcPr>
            <w:tcW w:w="1016" w:type="pct"/>
            <w:tcBorders>
              <w:top w:val="single" w:color="auto" w:sz="4" w:space="0"/>
            </w:tcBorders>
            <w:shd w:val="clear" w:color="auto" w:fill="FFFFFF"/>
            <w:tcMar>
              <w:top w:w="100" w:type="dxa"/>
              <w:left w:w="160" w:type="dxa"/>
              <w:bottom w:w="100" w:type="dxa"/>
              <w:right w:w="160" w:type="dxa"/>
            </w:tcMar>
            <w:vAlign w:val="center"/>
          </w:tcPr>
          <w:p w14:paraId="0CAB0699">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2.15</w:t>
            </w:r>
          </w:p>
        </w:tc>
        <w:tc>
          <w:tcPr>
            <w:tcW w:w="1016" w:type="pct"/>
            <w:tcBorders>
              <w:top w:val="single" w:color="auto" w:sz="4" w:space="0"/>
            </w:tcBorders>
            <w:shd w:val="clear" w:color="auto" w:fill="FFFFFF"/>
            <w:tcMar>
              <w:top w:w="100" w:type="dxa"/>
              <w:left w:w="160" w:type="dxa"/>
              <w:bottom w:w="100" w:type="dxa"/>
              <w:right w:w="160" w:type="dxa"/>
            </w:tcMar>
            <w:vAlign w:val="center"/>
          </w:tcPr>
          <w:p w14:paraId="117D3D5E">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-0.08</w:t>
            </w:r>
          </w:p>
        </w:tc>
        <w:tc>
          <w:tcPr>
            <w:tcW w:w="1246" w:type="pct"/>
            <w:tcBorders>
              <w:top w:val="single" w:color="auto" w:sz="4" w:space="0"/>
            </w:tcBorders>
            <w:shd w:val="clear" w:color="auto" w:fill="FFFFFF"/>
            <w:tcMar>
              <w:top w:w="100" w:type="dxa"/>
              <w:left w:w="160" w:type="dxa"/>
              <w:bottom w:w="100" w:type="dxa"/>
              <w:right w:w="160" w:type="dxa"/>
            </w:tcMar>
            <w:vAlign w:val="center"/>
          </w:tcPr>
          <w:p w14:paraId="159F900B">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1.24</w:t>
            </w:r>
          </w:p>
        </w:tc>
        <w:tc>
          <w:tcPr>
            <w:tcW w:w="651" w:type="pct"/>
            <w:tcBorders>
              <w:top w:val="single" w:color="auto" w:sz="4" w:space="0"/>
            </w:tcBorders>
            <w:shd w:val="clear" w:color="auto" w:fill="FFFFFF"/>
            <w:tcMar>
              <w:top w:w="100" w:type="dxa"/>
              <w:left w:w="160" w:type="dxa"/>
              <w:bottom w:w="100" w:type="dxa"/>
              <w:right w:w="0" w:type="dxa"/>
            </w:tcMar>
            <w:vAlign w:val="center"/>
          </w:tcPr>
          <w:p w14:paraId="06246252">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1</w:t>
            </w:r>
          </w:p>
        </w:tc>
      </w:tr>
      <w:tr w14:paraId="2EC84A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069" w:type="pct"/>
            <w:shd w:val="clear" w:color="auto" w:fill="FFFFFF"/>
            <w:tcMar>
              <w:top w:w="100" w:type="dxa"/>
              <w:left w:w="0" w:type="dxa"/>
              <w:bottom w:w="100" w:type="dxa"/>
              <w:right w:w="160" w:type="dxa"/>
            </w:tcMar>
            <w:vAlign w:val="center"/>
          </w:tcPr>
          <w:p w14:paraId="2184F09A">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T2</w:t>
            </w:r>
          </w:p>
        </w:tc>
        <w:tc>
          <w:tcPr>
            <w:tcW w:w="1016" w:type="pct"/>
            <w:shd w:val="clear" w:color="auto" w:fill="FFFFFF"/>
            <w:tcMar>
              <w:top w:w="100" w:type="dxa"/>
              <w:left w:w="160" w:type="dxa"/>
              <w:bottom w:w="100" w:type="dxa"/>
              <w:right w:w="160" w:type="dxa"/>
            </w:tcMar>
            <w:vAlign w:val="center"/>
          </w:tcPr>
          <w:p w14:paraId="556E9BC5">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0.52</w:t>
            </w:r>
          </w:p>
        </w:tc>
        <w:tc>
          <w:tcPr>
            <w:tcW w:w="1016" w:type="pct"/>
            <w:shd w:val="clear" w:color="auto" w:fill="FFFFFF"/>
            <w:tcMar>
              <w:top w:w="100" w:type="dxa"/>
              <w:left w:w="160" w:type="dxa"/>
              <w:bottom w:w="100" w:type="dxa"/>
              <w:right w:w="160" w:type="dxa"/>
            </w:tcMar>
            <w:vAlign w:val="center"/>
          </w:tcPr>
          <w:p w14:paraId="6F6FA935">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0.41</w:t>
            </w:r>
          </w:p>
        </w:tc>
        <w:tc>
          <w:tcPr>
            <w:tcW w:w="1246" w:type="pct"/>
            <w:shd w:val="clear" w:color="auto" w:fill="FFFFFF"/>
            <w:tcMar>
              <w:top w:w="100" w:type="dxa"/>
              <w:left w:w="160" w:type="dxa"/>
              <w:bottom w:w="100" w:type="dxa"/>
              <w:right w:w="160" w:type="dxa"/>
            </w:tcMar>
            <w:vAlign w:val="center"/>
          </w:tcPr>
          <w:p w14:paraId="438CECCF">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0.38</w:t>
            </w:r>
          </w:p>
        </w:tc>
        <w:tc>
          <w:tcPr>
            <w:tcW w:w="651" w:type="pct"/>
            <w:shd w:val="clear" w:color="auto" w:fill="FFFFFF"/>
            <w:tcMar>
              <w:top w:w="100" w:type="dxa"/>
              <w:left w:w="160" w:type="dxa"/>
              <w:bottom w:w="100" w:type="dxa"/>
              <w:right w:w="0" w:type="dxa"/>
            </w:tcMar>
            <w:vAlign w:val="center"/>
          </w:tcPr>
          <w:p w14:paraId="47B647F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2</w:t>
            </w:r>
          </w:p>
        </w:tc>
      </w:tr>
      <w:tr w14:paraId="0611EB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069" w:type="pct"/>
            <w:shd w:val="clear" w:color="auto" w:fill="FFFFFF"/>
            <w:tcMar>
              <w:top w:w="100" w:type="dxa"/>
              <w:left w:w="0" w:type="dxa"/>
              <w:bottom w:w="100" w:type="dxa"/>
              <w:right w:w="160" w:type="dxa"/>
            </w:tcMar>
            <w:vAlign w:val="center"/>
          </w:tcPr>
          <w:p w14:paraId="05573620">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T1</w:t>
            </w:r>
          </w:p>
        </w:tc>
        <w:tc>
          <w:tcPr>
            <w:tcW w:w="1016" w:type="pct"/>
            <w:shd w:val="clear" w:color="auto" w:fill="FFFFFF"/>
            <w:tcMar>
              <w:top w:w="100" w:type="dxa"/>
              <w:left w:w="160" w:type="dxa"/>
              <w:bottom w:w="100" w:type="dxa"/>
              <w:right w:w="160" w:type="dxa"/>
            </w:tcMar>
            <w:vAlign w:val="center"/>
          </w:tcPr>
          <w:p w14:paraId="215E0A2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-0.45</w:t>
            </w:r>
          </w:p>
        </w:tc>
        <w:tc>
          <w:tcPr>
            <w:tcW w:w="1016" w:type="pct"/>
            <w:shd w:val="clear" w:color="auto" w:fill="FFFFFF"/>
            <w:tcMar>
              <w:top w:w="100" w:type="dxa"/>
              <w:left w:w="160" w:type="dxa"/>
              <w:bottom w:w="100" w:type="dxa"/>
              <w:right w:w="160" w:type="dxa"/>
            </w:tcMar>
            <w:vAlign w:val="center"/>
          </w:tcPr>
          <w:p w14:paraId="3DF82781">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1.12</w:t>
            </w:r>
          </w:p>
        </w:tc>
        <w:tc>
          <w:tcPr>
            <w:tcW w:w="1246" w:type="pct"/>
            <w:shd w:val="clear" w:color="auto" w:fill="FFFFFF"/>
            <w:tcMar>
              <w:top w:w="100" w:type="dxa"/>
              <w:left w:w="160" w:type="dxa"/>
              <w:bottom w:w="100" w:type="dxa"/>
              <w:right w:w="160" w:type="dxa"/>
            </w:tcMar>
            <w:vAlign w:val="center"/>
          </w:tcPr>
          <w:p w14:paraId="6B69BCDE">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-0.29</w:t>
            </w:r>
          </w:p>
        </w:tc>
        <w:tc>
          <w:tcPr>
            <w:tcW w:w="651" w:type="pct"/>
            <w:shd w:val="clear" w:color="auto" w:fill="FFFFFF"/>
            <w:tcMar>
              <w:top w:w="100" w:type="dxa"/>
              <w:left w:w="160" w:type="dxa"/>
              <w:bottom w:w="100" w:type="dxa"/>
              <w:right w:w="0" w:type="dxa"/>
            </w:tcMar>
            <w:vAlign w:val="center"/>
          </w:tcPr>
          <w:p w14:paraId="141D7816">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3</w:t>
            </w:r>
          </w:p>
        </w:tc>
      </w:tr>
      <w:tr w14:paraId="09FAC3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069" w:type="pct"/>
            <w:shd w:val="clear" w:color="auto" w:fill="FFFFFF"/>
            <w:tcMar>
              <w:top w:w="100" w:type="dxa"/>
              <w:left w:w="0" w:type="dxa"/>
              <w:bottom w:w="100" w:type="dxa"/>
              <w:right w:w="160" w:type="dxa"/>
            </w:tcMar>
            <w:vAlign w:val="center"/>
          </w:tcPr>
          <w:p w14:paraId="2B0AD519">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Style w:val="6"/>
                <w:rFonts w:hint="default" w:ascii="Times New Roman" w:hAnsi="Times New Roman" w:eastAsia="仿宋_GB2312" w:cs="Times New Roman"/>
                <w:b w:val="0"/>
                <w:bCs w:val="0"/>
                <w:i w:val="0"/>
                <w:iCs w:val="0"/>
                <w:caps w:val="0"/>
                <w:color w:val="0F1115"/>
                <w:spacing w:val="0"/>
                <w:kern w:val="0"/>
                <w:sz w:val="21"/>
                <w:szCs w:val="21"/>
                <w:lang w:val="en-US" w:eastAsia="zh-CN" w:bidi="ar"/>
              </w:rPr>
              <w:t>CK</w:t>
            </w:r>
          </w:p>
        </w:tc>
        <w:tc>
          <w:tcPr>
            <w:tcW w:w="1016" w:type="pct"/>
            <w:shd w:val="clear" w:color="auto" w:fill="FFFFFF"/>
            <w:tcMar>
              <w:top w:w="100" w:type="dxa"/>
              <w:left w:w="160" w:type="dxa"/>
              <w:bottom w:w="100" w:type="dxa"/>
              <w:right w:w="160" w:type="dxa"/>
            </w:tcMar>
            <w:vAlign w:val="center"/>
          </w:tcPr>
          <w:p w14:paraId="29A44A83">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-2.22</w:t>
            </w:r>
          </w:p>
        </w:tc>
        <w:tc>
          <w:tcPr>
            <w:tcW w:w="1016" w:type="pct"/>
            <w:shd w:val="clear" w:color="auto" w:fill="FFFFFF"/>
            <w:tcMar>
              <w:top w:w="100" w:type="dxa"/>
              <w:left w:w="160" w:type="dxa"/>
              <w:bottom w:w="100" w:type="dxa"/>
              <w:right w:w="160" w:type="dxa"/>
            </w:tcMar>
            <w:vAlign w:val="center"/>
          </w:tcPr>
          <w:p w14:paraId="3E67D4D6">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-1.45</w:t>
            </w:r>
          </w:p>
        </w:tc>
        <w:tc>
          <w:tcPr>
            <w:tcW w:w="1246" w:type="pct"/>
            <w:shd w:val="clear" w:color="auto" w:fill="FFFFFF"/>
            <w:tcMar>
              <w:top w:w="100" w:type="dxa"/>
              <w:left w:w="160" w:type="dxa"/>
              <w:bottom w:w="100" w:type="dxa"/>
              <w:right w:w="160" w:type="dxa"/>
            </w:tcMar>
            <w:vAlign w:val="center"/>
          </w:tcPr>
          <w:p w14:paraId="1C56BDD7">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-1.33</w:t>
            </w:r>
          </w:p>
        </w:tc>
        <w:tc>
          <w:tcPr>
            <w:tcW w:w="651" w:type="pct"/>
            <w:shd w:val="clear" w:color="auto" w:fill="FFFFFF"/>
            <w:tcMar>
              <w:top w:w="100" w:type="dxa"/>
              <w:left w:w="160" w:type="dxa"/>
              <w:bottom w:w="100" w:type="dxa"/>
              <w:right w:w="0" w:type="dxa"/>
            </w:tcMar>
            <w:vAlign w:val="center"/>
          </w:tcPr>
          <w:p w14:paraId="58FC31DE">
            <w:pPr>
              <w:keepNext w:val="0"/>
              <w:keepLines w:val="0"/>
              <w:widowControl/>
              <w:suppressLineNumbers w:val="0"/>
              <w:spacing w:line="250" w:lineRule="atLeast"/>
              <w:jc w:val="center"/>
              <w:rPr>
                <w:rFonts w:hint="default" w:ascii="Times New Roman" w:hAnsi="Times New Roman" w:eastAsia="仿宋_GB2312" w:cs="Times New Roman"/>
                <w:b w:val="0"/>
                <w:bCs w:val="0"/>
                <w:i w:val="0"/>
                <w:iCs w:val="0"/>
                <w:caps w:val="0"/>
                <w:color w:val="0F1115"/>
                <w:spacing w:val="0"/>
                <w:sz w:val="21"/>
                <w:szCs w:val="21"/>
              </w:rPr>
            </w:pPr>
            <w:r>
              <w:rPr>
                <w:rFonts w:hint="default" w:ascii="Times New Roman" w:hAnsi="Times New Roman" w:eastAsia="仿宋_GB2312" w:cs="Times New Roman"/>
                <w:b w:val="0"/>
                <w:bCs w:val="0"/>
                <w:i w:val="0"/>
                <w:iCs w:val="0"/>
                <w:caps w:val="0"/>
                <w:color w:val="0F1115"/>
                <w:spacing w:val="0"/>
                <w:kern w:val="0"/>
                <w:sz w:val="21"/>
                <w:szCs w:val="21"/>
                <w:lang w:val="en-US" w:eastAsia="zh-CN" w:bidi="ar"/>
              </w:rPr>
              <w:t>4</w:t>
            </w:r>
          </w:p>
        </w:tc>
      </w:tr>
    </w:tbl>
    <w:p w14:paraId="40DB9448">
      <w:pPr>
        <w:numPr>
          <w:ilvl w:val="0"/>
          <w:numId w:val="0"/>
        </w:numPr>
        <w:spacing w:before="156" w:beforeLines="50" w:after="156" w:afterLines="50"/>
        <w:ind w:firstLine="640" w:firstLineChars="200"/>
        <w:outlineLvl w:val="2"/>
        <w:rPr>
          <w:rStyle w:val="8"/>
          <w:rFonts w:hint="default" w:eastAsia="方正仿宋_GB2312" w:cstheme="minorBidi"/>
          <w:b w:val="0"/>
          <w:bCs/>
          <w:sz w:val="32"/>
          <w:szCs w:val="32"/>
          <w:lang w:val="en-US" w:eastAsia="zh-CN"/>
        </w:rPr>
      </w:pPr>
      <w:r>
        <w:rPr>
          <w:rStyle w:val="8"/>
          <w:rFonts w:hint="eastAsia" w:eastAsia="方正仿宋_GB2312" w:cstheme="minorBidi"/>
          <w:b w:val="0"/>
          <w:bCs/>
          <w:sz w:val="32"/>
          <w:szCs w:val="32"/>
          <w:lang w:val="en-US" w:eastAsia="zh-CN"/>
        </w:rPr>
        <w:t>由表11可知，</w:t>
      </w:r>
      <w:r>
        <w:rPr>
          <w:rStyle w:val="8"/>
          <w:rFonts w:hint="default" w:eastAsia="方正仿宋_GB2312" w:cstheme="minorBidi"/>
          <w:b w:val="0"/>
          <w:bCs/>
          <w:sz w:val="32"/>
          <w:szCs w:val="32"/>
          <w:lang w:val="en-US" w:eastAsia="zh-CN"/>
        </w:rPr>
        <w:t>基于主成分得分计算的综合得分(F值)排序为：T3 (1.24) &gt; T2 (0.38) &gt; T1 (-0.29) &gt; CK (-1.33)。该结果客观地表明T3的处理方式能产生最佳的协同效应，培育出的幼苗在整体质量上显著优于其他处理。</w:t>
      </w:r>
    </w:p>
    <w:p w14:paraId="04C3FFAD">
      <w:pPr>
        <w:numPr>
          <w:ilvl w:val="1"/>
          <w:numId w:val="1"/>
        </w:numPr>
        <w:spacing w:before="156" w:beforeLines="50" w:after="156" w:afterLines="50"/>
        <w:outlineLvl w:val="2"/>
        <w:rPr>
          <w:rStyle w:val="8"/>
          <w:rFonts w:hint="default" w:eastAsia="方正仿宋_GB2312" w:cstheme="minorBidi"/>
          <w:b/>
          <w:bCs w:val="0"/>
          <w:sz w:val="32"/>
          <w:szCs w:val="32"/>
          <w:lang w:val="en-US" w:eastAsia="zh-CN"/>
        </w:rPr>
      </w:pPr>
      <w:r>
        <w:rPr>
          <w:rStyle w:val="8"/>
          <w:rFonts w:hint="eastAsia" w:eastAsia="方正仿宋_GB2312" w:cstheme="minorBidi"/>
          <w:b/>
          <w:bCs w:val="0"/>
          <w:sz w:val="32"/>
          <w:szCs w:val="32"/>
          <w:lang w:val="en-US" w:eastAsia="zh-CN"/>
        </w:rPr>
        <w:t>小结</w:t>
      </w:r>
    </w:p>
    <w:p w14:paraId="27940ACA">
      <w:pPr>
        <w:numPr>
          <w:ilvl w:val="0"/>
          <w:numId w:val="0"/>
        </w:numPr>
        <w:spacing w:before="156" w:beforeLines="50" w:after="156" w:afterLines="50"/>
        <w:ind w:leftChars="0" w:firstLine="640" w:firstLineChars="200"/>
        <w:outlineLvl w:val="2"/>
        <w:rPr>
          <w:rStyle w:val="8"/>
          <w:rFonts w:hint="default" w:eastAsia="方正仿宋_GB2312" w:cstheme="minorBidi"/>
          <w:b w:val="0"/>
          <w:bCs/>
          <w:sz w:val="32"/>
          <w:szCs w:val="32"/>
          <w:lang w:val="en-US" w:eastAsia="zh-CN"/>
        </w:rPr>
      </w:pPr>
      <w:r>
        <w:rPr>
          <w:rStyle w:val="8"/>
          <w:rFonts w:hint="default" w:eastAsia="方正仿宋_GB2312" w:cstheme="minorBidi"/>
          <w:b w:val="0"/>
          <w:bCs/>
          <w:sz w:val="32"/>
          <w:szCs w:val="32"/>
          <w:lang w:val="en-US" w:eastAsia="zh-CN"/>
        </w:rPr>
        <w:t>基于多指标测定与主成分分析的综合评价表明，不同叶面施肥</w:t>
      </w:r>
      <w:r>
        <w:rPr>
          <w:rStyle w:val="8"/>
          <w:rFonts w:hint="eastAsia" w:eastAsia="方正仿宋_GB2312" w:cstheme="minorBidi"/>
          <w:b w:val="0"/>
          <w:bCs/>
          <w:sz w:val="32"/>
          <w:szCs w:val="32"/>
          <w:lang w:val="en-US" w:eastAsia="zh-CN"/>
        </w:rPr>
        <w:t>方式</w:t>
      </w:r>
      <w:r>
        <w:rPr>
          <w:rStyle w:val="8"/>
          <w:rFonts w:hint="default" w:eastAsia="方正仿宋_GB2312" w:cstheme="minorBidi"/>
          <w:b w:val="0"/>
          <w:bCs/>
          <w:sz w:val="32"/>
          <w:szCs w:val="32"/>
          <w:lang w:val="en-US" w:eastAsia="zh-CN"/>
        </w:rPr>
        <w:t>对</w:t>
      </w:r>
      <w:r>
        <w:rPr>
          <w:rStyle w:val="8"/>
          <w:rFonts w:hint="eastAsia" w:eastAsia="方正仿宋_GB2312" w:cstheme="minorBidi"/>
          <w:b w:val="0"/>
          <w:bCs/>
          <w:sz w:val="32"/>
          <w:szCs w:val="32"/>
          <w:lang w:val="en-US" w:eastAsia="zh-CN"/>
        </w:rPr>
        <w:t>叶用</w:t>
      </w:r>
      <w:r>
        <w:rPr>
          <w:rStyle w:val="8"/>
          <w:rFonts w:hint="default" w:eastAsia="方正仿宋_GB2312" w:cstheme="minorBidi"/>
          <w:b w:val="0"/>
          <w:bCs/>
          <w:sz w:val="32"/>
          <w:szCs w:val="32"/>
          <w:lang w:val="en-US" w:eastAsia="zh-CN"/>
        </w:rPr>
        <w:t>莴苣幼苗的效应具有多维度特性。T1（</w:t>
      </w:r>
      <w:r>
        <w:rPr>
          <w:rStyle w:val="8"/>
          <w:rFonts w:hint="eastAsia" w:eastAsia="方正仿宋_GB2312" w:cstheme="minorBidi"/>
          <w:b w:val="0"/>
          <w:bCs/>
          <w:sz w:val="32"/>
          <w:szCs w:val="32"/>
          <w:lang w:val="en-US" w:eastAsia="zh-CN"/>
        </w:rPr>
        <w:t>前</w:t>
      </w:r>
      <w:r>
        <w:rPr>
          <w:rStyle w:val="8"/>
          <w:rFonts w:hint="default" w:eastAsia="方正仿宋_GB2312" w:cstheme="minorBidi"/>
          <w:b w:val="0"/>
          <w:bCs/>
          <w:sz w:val="32"/>
          <w:szCs w:val="32"/>
          <w:lang w:val="en-US" w:eastAsia="zh-CN"/>
        </w:rPr>
        <w:t>期施肥）倾向于塑造更粗、分支更多的根系结构并降低Chl a/b比值；T2（后期施肥）在提升株高、激发根系代谢活力方面效果突出；而CK（不施肥）幼苗则生长</w:t>
      </w:r>
      <w:r>
        <w:rPr>
          <w:rStyle w:val="8"/>
          <w:rFonts w:hint="eastAsia" w:eastAsia="方正仿宋_GB2312" w:cstheme="minorBidi"/>
          <w:b w:val="0"/>
          <w:bCs/>
          <w:sz w:val="32"/>
          <w:szCs w:val="32"/>
          <w:lang w:val="en-US" w:eastAsia="zh-CN"/>
        </w:rPr>
        <w:t>缓慢</w:t>
      </w:r>
      <w:r>
        <w:rPr>
          <w:rStyle w:val="8"/>
          <w:rFonts w:hint="default" w:eastAsia="方正仿宋_GB2312" w:cstheme="minorBidi"/>
          <w:b w:val="0"/>
          <w:bCs/>
          <w:sz w:val="32"/>
          <w:szCs w:val="32"/>
          <w:lang w:val="en-US" w:eastAsia="zh-CN"/>
        </w:rPr>
        <w:t>。然而，T3（</w:t>
      </w:r>
      <w:r>
        <w:rPr>
          <w:rStyle w:val="8"/>
          <w:rFonts w:hint="eastAsia" w:eastAsia="方正仿宋_GB2312" w:cstheme="minorBidi"/>
          <w:b w:val="0"/>
          <w:bCs/>
          <w:sz w:val="32"/>
          <w:szCs w:val="32"/>
          <w:lang w:val="en-US" w:eastAsia="zh-CN"/>
        </w:rPr>
        <w:t>前期+后期</w:t>
      </w:r>
      <w:r>
        <w:rPr>
          <w:rStyle w:val="8"/>
          <w:rFonts w:hint="default" w:eastAsia="方正仿宋_GB2312" w:cstheme="minorBidi"/>
          <w:b w:val="0"/>
          <w:bCs/>
          <w:sz w:val="32"/>
          <w:szCs w:val="32"/>
          <w:lang w:val="en-US" w:eastAsia="zh-CN"/>
        </w:rPr>
        <w:t>施肥）策略通过早期奠定根系构型基础与后期保障营养和代谢需求，在生物量、根系规模、光合色素总量及综合得分上均表现最优，是培育高质量莴苣穴盘苗的有效施肥策略。</w:t>
      </w:r>
    </w:p>
    <w:p w14:paraId="4A7364C7">
      <w:pPr>
        <w:widowControl/>
        <w:autoSpaceDE w:val="0"/>
        <w:autoSpaceDN w:val="0"/>
        <w:spacing w:before="156" w:beforeLines="50" w:after="156" w:afterLines="50"/>
        <w:rPr>
          <w:rFonts w:eastAsia="黑体"/>
          <w:b/>
          <w:sz w:val="32"/>
          <w:szCs w:val="32"/>
        </w:rPr>
      </w:pPr>
      <w:r>
        <w:rPr>
          <w:rFonts w:hint="eastAsia" w:eastAsia="黑体"/>
          <w:b/>
          <w:sz w:val="32"/>
          <w:szCs w:val="32"/>
        </w:rPr>
        <w:t>六、重大意见分歧的处理依据结果</w:t>
      </w:r>
    </w:p>
    <w:p w14:paraId="47EDFCE9">
      <w:pPr>
        <w:spacing w:line="300" w:lineRule="auto"/>
        <w:ind w:firstLine="640" w:firstLineChars="200"/>
        <w:rPr>
          <w:rFonts w:eastAsia="仿宋_GB2312"/>
          <w:kern w:val="0"/>
          <w:sz w:val="32"/>
          <w:szCs w:val="32"/>
        </w:rPr>
      </w:pPr>
      <w:r>
        <w:rPr>
          <w:rFonts w:hint="eastAsia" w:eastAsia="仿宋_GB2312"/>
          <w:kern w:val="0"/>
          <w:sz w:val="32"/>
          <w:szCs w:val="32"/>
        </w:rPr>
        <w:t>在本标准制定过程中，起草</w:t>
      </w:r>
      <w:r>
        <w:rPr>
          <w:rFonts w:hint="eastAsia" w:eastAsia="仿宋_GB2312"/>
          <w:kern w:val="0"/>
          <w:sz w:val="32"/>
          <w:szCs w:val="32"/>
          <w:lang w:val="en-US" w:eastAsia="zh-CN"/>
        </w:rPr>
        <w:t>小</w:t>
      </w:r>
      <w:r>
        <w:rPr>
          <w:rFonts w:hint="eastAsia" w:eastAsia="仿宋_GB2312"/>
          <w:kern w:val="0"/>
          <w:sz w:val="32"/>
          <w:szCs w:val="32"/>
        </w:rPr>
        <w:t>组通过座谈会、实地调研和书面征询等形式，与省内外莴苣类蔬菜育苗领域的科研单位、技术推广部门、生产企业及种植户进行了多轮沟通，对规程内容进行了充分讨论和协商。经广泛征求意见和反复修改完善，各相关方对标准技术指标和操作要求已达成基本共识</w:t>
      </w:r>
      <w:r>
        <w:rPr>
          <w:rFonts w:hint="eastAsia" w:eastAsia="仿宋_GB2312"/>
          <w:kern w:val="0"/>
          <w:sz w:val="32"/>
          <w:szCs w:val="32"/>
          <w:lang w:eastAsia="zh-CN"/>
        </w:rPr>
        <w:t>。</w:t>
      </w:r>
      <w:r>
        <w:rPr>
          <w:rFonts w:hint="eastAsia" w:eastAsia="仿宋_GB2312"/>
          <w:kern w:val="0"/>
          <w:sz w:val="32"/>
          <w:szCs w:val="32"/>
        </w:rPr>
        <w:t>在制定过程中，对部分技术细节进行了多轮研讨和协商，最终基于试验数据和产业实际达成一致，未遗留重大原则性分歧。</w:t>
      </w:r>
    </w:p>
    <w:p w14:paraId="100C4F96">
      <w:pPr>
        <w:widowControl/>
        <w:autoSpaceDE w:val="0"/>
        <w:autoSpaceDN w:val="0"/>
        <w:spacing w:before="156" w:beforeLines="50" w:after="156" w:afterLines="50"/>
        <w:rPr>
          <w:rFonts w:eastAsia="黑体"/>
          <w:b/>
          <w:sz w:val="32"/>
          <w:szCs w:val="32"/>
        </w:rPr>
      </w:pPr>
      <w:r>
        <w:rPr>
          <w:rFonts w:hint="eastAsia" w:eastAsia="黑体"/>
          <w:b/>
          <w:sz w:val="32"/>
          <w:szCs w:val="32"/>
        </w:rPr>
        <w:t>七、贯彻实施该标准的要求、措施建议</w:t>
      </w:r>
    </w:p>
    <w:p w14:paraId="102AB322">
      <w:pPr>
        <w:widowControl/>
        <w:autoSpaceDE w:val="0"/>
        <w:autoSpaceDN w:val="0"/>
        <w:spacing w:before="156" w:beforeLines="50" w:after="156" w:afterLines="50"/>
        <w:ind w:firstLine="627" w:firstLineChars="196"/>
        <w:rPr>
          <w:rFonts w:hint="eastAsia" w:eastAsia="仿宋_GB2312"/>
          <w:sz w:val="32"/>
          <w:szCs w:val="32"/>
        </w:rPr>
      </w:pPr>
      <w:r>
        <w:rPr>
          <w:rFonts w:hint="eastAsia" w:eastAsia="仿宋_GB2312"/>
          <w:sz w:val="32"/>
          <w:szCs w:val="32"/>
        </w:rPr>
        <w:t>加强组织引导与宣传培训，由</w:t>
      </w:r>
      <w:r>
        <w:rPr>
          <w:rFonts w:hint="eastAsia" w:eastAsia="仿宋_GB2312"/>
          <w:sz w:val="32"/>
          <w:szCs w:val="32"/>
          <w:lang w:val="en-US" w:eastAsia="zh-CN"/>
        </w:rPr>
        <w:t>专业部门</w:t>
      </w:r>
      <w:r>
        <w:rPr>
          <w:rFonts w:hint="eastAsia" w:eastAsia="仿宋_GB2312"/>
          <w:sz w:val="32"/>
          <w:szCs w:val="32"/>
        </w:rPr>
        <w:t>牵头，通过专项培训、技术手册、现场观摩等形式，面向技术员和农户全面普及标准内容与关键操作要点；同时强化技术配套与服务支撑，在主产区建立标准化示范样板，依托专业化育苗组织提供统一服务，并辅以持续的技术咨询。在要素保障方面，需确保优质基质、穴盘、种源等生产资料的供应，鼓励育苗设施设备升级，满足标准实施的硬件要求。最后，应建立监督反馈与持续改进机制，开展种苗质量跟踪评估，收集实施中的问题与建议，为标准后续优化提供依据，从而形成推广、服务、保障、改进闭环，推动青海莴苣育苗标准化水平和产业竞争力全面提升。</w:t>
      </w:r>
    </w:p>
    <w:p w14:paraId="5422538B">
      <w:pPr>
        <w:widowControl/>
        <w:autoSpaceDE w:val="0"/>
        <w:autoSpaceDN w:val="0"/>
        <w:spacing w:before="156" w:beforeLines="50" w:after="156" w:afterLines="50"/>
        <w:rPr>
          <w:rFonts w:eastAsia="黑体"/>
          <w:b/>
          <w:sz w:val="32"/>
          <w:szCs w:val="32"/>
        </w:rPr>
      </w:pPr>
      <w:r>
        <w:rPr>
          <w:rFonts w:hint="eastAsia" w:eastAsia="黑体"/>
          <w:b/>
          <w:sz w:val="32"/>
          <w:szCs w:val="32"/>
        </w:rPr>
        <w:t>八、预期的经济效益及社会效益</w:t>
      </w:r>
    </w:p>
    <w:p w14:paraId="02CCCA89">
      <w:pPr>
        <w:ind w:firstLine="640" w:firstLineChars="200"/>
      </w:pPr>
      <w:r>
        <w:rPr>
          <w:rFonts w:hint="eastAsia" w:eastAsia="仿宋_GB2312"/>
          <w:sz w:val="32"/>
          <w:szCs w:val="32"/>
        </w:rPr>
        <w:t>本标准是项目组在青海省主要</w:t>
      </w:r>
      <w:r>
        <w:rPr>
          <w:rFonts w:hint="eastAsia" w:eastAsia="仿宋_GB2312"/>
          <w:sz w:val="32"/>
          <w:szCs w:val="32"/>
          <w:lang w:val="en-US" w:eastAsia="zh-CN"/>
        </w:rPr>
        <w:t>露地莴苣</w:t>
      </w:r>
      <w:r>
        <w:rPr>
          <w:rFonts w:hint="eastAsia" w:eastAsia="仿宋_GB2312"/>
          <w:sz w:val="32"/>
          <w:szCs w:val="32"/>
        </w:rPr>
        <w:t>产区经过系统生产试验和科学观测，结合多年研究成果，针对本地气候与生产条件制定的集约化穴盘育苗技术规程。本规范推广应用后，通过标准化育苗管理及绿色防控措施，在</w:t>
      </w:r>
      <w:r>
        <w:rPr>
          <w:rFonts w:hint="eastAsia" w:eastAsia="仿宋_GB2312"/>
          <w:sz w:val="32"/>
          <w:szCs w:val="32"/>
          <w:lang w:val="en-US" w:eastAsia="zh-CN"/>
        </w:rPr>
        <w:t>园艺创新</w:t>
      </w:r>
      <w:r>
        <w:rPr>
          <w:rFonts w:hint="eastAsia" w:eastAsia="仿宋_GB2312"/>
          <w:sz w:val="32"/>
          <w:szCs w:val="32"/>
        </w:rPr>
        <w:t>基地的对比试验，采用本标准技术较传统方法平均成苗率由78%提高至91%，缩短育苗周期3</w:t>
      </w:r>
      <w:r>
        <w:rPr>
          <w:rFonts w:hint="eastAsia" w:eastAsia="仿宋_GB2312"/>
          <w:sz w:val="32"/>
          <w:szCs w:val="32"/>
          <w:lang w:val="en-US" w:eastAsia="zh-CN"/>
        </w:rPr>
        <w:t>-</w:t>
      </w:r>
      <w:r>
        <w:rPr>
          <w:rFonts w:hint="eastAsia" w:eastAsia="仿宋_GB2312"/>
          <w:sz w:val="32"/>
          <w:szCs w:val="32"/>
        </w:rPr>
        <w:t>5天</w:t>
      </w:r>
      <w:r>
        <w:rPr>
          <w:rFonts w:hint="eastAsia" w:eastAsia="仿宋_GB2312"/>
          <w:sz w:val="32"/>
          <w:szCs w:val="32"/>
          <w:lang w:eastAsia="zh-CN"/>
        </w:rPr>
        <w:t>，</w:t>
      </w:r>
      <w:r>
        <w:rPr>
          <w:rFonts w:hint="eastAsia" w:eastAsia="仿宋_GB2312"/>
          <w:sz w:val="32"/>
          <w:szCs w:val="32"/>
          <w:lang w:val="en-US" w:eastAsia="zh-CN"/>
        </w:rPr>
        <w:t>预计</w:t>
      </w:r>
      <w:r>
        <w:rPr>
          <w:rFonts w:hint="eastAsia" w:eastAsia="仿宋_GB2312"/>
          <w:sz w:val="32"/>
          <w:szCs w:val="32"/>
        </w:rPr>
        <w:t>增产约7.5%</w:t>
      </w:r>
      <w:r>
        <w:rPr>
          <w:rFonts w:hint="eastAsia" w:eastAsia="仿宋_GB2312"/>
          <w:sz w:val="32"/>
          <w:szCs w:val="32"/>
          <w:lang w:eastAsia="zh-CN"/>
        </w:rPr>
        <w:t>，</w:t>
      </w:r>
      <w:r>
        <w:rPr>
          <w:rFonts w:hint="eastAsia" w:eastAsia="仿宋_GB2312"/>
          <w:sz w:val="32"/>
          <w:szCs w:val="32"/>
        </w:rPr>
        <w:t>有效节约生产成本，显著增加经济效益。本标准的实施将推动莴苣育苗生产向标准化、集约化转型，提升秧苗质量和生产效益，实现农业节本增效和农民增收。同时，通过减少化学农药使用，促进绿色生产，对保障农产品质量安全、保护农业生态环境具有积极社会效益，为青海省蔬菜产业可持续发展提供技术支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821E31-9978-4AF8-8B38-6DD9BF889E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079075DF-8437-4928-A0FE-5A741EADF690}"/>
  </w:font>
  <w:font w:name="楷体_GB2312">
    <w:panose1 w:val="02010609030101010101"/>
    <w:charset w:val="86"/>
    <w:family w:val="modern"/>
    <w:pitch w:val="default"/>
    <w:sig w:usb0="00000001" w:usb1="080E0000" w:usb2="00000000" w:usb3="00000000" w:csb0="00040000" w:csb1="00000000"/>
    <w:embedRegular r:id="rId3" w:fontKey="{BBF26DA5-033A-4D40-B113-CE33B9F3D9F2}"/>
  </w:font>
  <w:font w:name="仿宋_GB2312">
    <w:panose1 w:val="02010609030101010101"/>
    <w:charset w:val="86"/>
    <w:family w:val="modern"/>
    <w:pitch w:val="default"/>
    <w:sig w:usb0="00000001" w:usb1="080E0000" w:usb2="00000000" w:usb3="00000000" w:csb0="00040000" w:csb1="00000000"/>
    <w:embedRegular r:id="rId4" w:fontKey="{FFF914D3-93F3-4D64-B455-9091AC53600E}"/>
  </w:font>
  <w:font w:name="方正仿宋_GB2312">
    <w:panose1 w:val="02000000000000000000"/>
    <w:charset w:val="86"/>
    <w:family w:val="auto"/>
    <w:pitch w:val="default"/>
    <w:sig w:usb0="A00002BF" w:usb1="184F6CFA" w:usb2="00000012" w:usb3="00000000" w:csb0="00040001" w:csb1="00000000"/>
    <w:embedRegular r:id="rId5" w:fontKey="{020893BE-2F88-4FD5-AD09-2C3C18B52999}"/>
  </w:font>
  <w:font w:name="微软雅黑">
    <w:panose1 w:val="020B0503020204020204"/>
    <w:charset w:val="86"/>
    <w:family w:val="auto"/>
    <w:pitch w:val="default"/>
    <w:sig w:usb0="80000287" w:usb1="2ACF3C50" w:usb2="00000016" w:usb3="00000000" w:csb0="0004001F" w:csb1="00000000"/>
    <w:embedRegular r:id="rId6" w:fontKey="{6FCB1E48-D3A8-4F33-AF00-FB46359F413E}"/>
  </w:font>
  <w:font w:name="仿宋">
    <w:panose1 w:val="02010609060101010101"/>
    <w:charset w:val="86"/>
    <w:family w:val="modern"/>
    <w:pitch w:val="default"/>
    <w:sig w:usb0="800002BF" w:usb1="38CF7CFA" w:usb2="00000016" w:usb3="00000000" w:csb0="00040001" w:csb1="00000000"/>
    <w:embedRegular r:id="rId7" w:fontKey="{FFCB7371-3547-4E8D-B143-F23C3F7A8DD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8D0709"/>
    <w:multiLevelType w:val="multilevel"/>
    <w:tmpl w:val="5B8D0709"/>
    <w:lvl w:ilvl="0" w:tentative="0">
      <w:start w:val="3"/>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30E57"/>
    <w:rsid w:val="031511C4"/>
    <w:rsid w:val="075E6631"/>
    <w:rsid w:val="087C1A65"/>
    <w:rsid w:val="08B30E57"/>
    <w:rsid w:val="098116D5"/>
    <w:rsid w:val="0B2D325A"/>
    <w:rsid w:val="0EFD148A"/>
    <w:rsid w:val="19AF5494"/>
    <w:rsid w:val="1E081BFA"/>
    <w:rsid w:val="20B61DE1"/>
    <w:rsid w:val="217C20DC"/>
    <w:rsid w:val="23EF2667"/>
    <w:rsid w:val="2D4A7FD3"/>
    <w:rsid w:val="3034100A"/>
    <w:rsid w:val="349E3C26"/>
    <w:rsid w:val="36612019"/>
    <w:rsid w:val="37A041B7"/>
    <w:rsid w:val="37E83C83"/>
    <w:rsid w:val="390908A8"/>
    <w:rsid w:val="3A4D38C8"/>
    <w:rsid w:val="3FC91D6C"/>
    <w:rsid w:val="409B660A"/>
    <w:rsid w:val="48DB6E16"/>
    <w:rsid w:val="495567A6"/>
    <w:rsid w:val="4AD75EE4"/>
    <w:rsid w:val="50BC6FD2"/>
    <w:rsid w:val="53760948"/>
    <w:rsid w:val="635B439C"/>
    <w:rsid w:val="64BC4B51"/>
    <w:rsid w:val="65CB0BBD"/>
    <w:rsid w:val="664737D4"/>
    <w:rsid w:val="67152EB8"/>
    <w:rsid w:val="67AB47D8"/>
    <w:rsid w:val="6A576E16"/>
    <w:rsid w:val="72057112"/>
    <w:rsid w:val="7A580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nhideWhenUsed/>
    <w:qFormat/>
    <w:uiPriority w:val="99"/>
    <w:rPr>
      <w:rFonts w:hint="default"/>
      <w:color w:val="000000"/>
      <w:sz w:val="24"/>
      <w:szCs w:val="24"/>
    </w:rPr>
  </w:style>
  <w:style w:type="paragraph" w:customStyle="1" w:styleId="9">
    <w:name w:val="p17"/>
    <w:basedOn w:val="1"/>
    <w:qFormat/>
    <w:uiPriority w:val="0"/>
    <w:pPr>
      <w:widowControl/>
      <w:ind w:firstLine="420"/>
    </w:pPr>
    <w:rPr>
      <w:rFonts w:ascii="Calibri" w:hAnsi="Calibri"/>
      <w:kern w:val="0"/>
      <w:sz w:val="28"/>
      <w:szCs w:val="28"/>
    </w:rPr>
  </w:style>
  <w:style w:type="paragraph" w:customStyle="1" w:styleId="10">
    <w:name w:val="标准文件_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pn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dd148fd9-bb3b-45c7-9539-53857eeb8a34</errorID>
      <errorWord>[2024]4号</errorWord>
      <group>L1_Knowledge</group>
      <groupName>知识性问题</groupName>
      <ability>L2_Knowledge</ability>
      <abilityName>其他知识</abilityName>
      <candidateList>
        <item>〔2024〕4号</item>
      </candidateList>
      <explain>发文字号格式错误。</explain>
      <paraID>22771D27</paraID>
      <start>87</start>
      <end>95</end>
      <status>ignored</status>
      <modifiedWord/>
      <trackRevisions>false</trackRevisions>
    </reviewItem>
    <reviewItem>
      <errorID>e669b890-d6ff-4aa9-92b5-6bab1b798e5e</errorID>
      <errorWord>查新</errorWord>
      <group>L1_Word</group>
      <groupName>字词问题</groupName>
      <ability>L2_Typo</ability>
      <abilityName>字词错误</abilityName>
      <candidateList>
        <item>查询</item>
      </candidateList>
      <explain>〈动〉查问▲。</explain>
      <paraID>712A5601</paraID>
      <start>42</start>
      <end>44</end>
      <status>ignored</status>
      <modifiedWord/>
      <trackRevisions>false</trackRevisions>
    </reviewItem>
    <reviewItem>
      <errorID>510963ad-604e-4388-9940-f6f03d2de70d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68E4B511</paraID>
      <start>5</start>
      <end>6</end>
      <status>modified</status>
      <modifiedWord>—</modifiedWord>
      <trackRevisions>false</trackRevisions>
    </reviewItem>
    <reviewItem>
      <errorID>701f3ef9-72c2-468a-bd45-d82b36b753e7</errorID>
      <errorWord>，</errorWord>
      <group>L1_Grammar</group>
      <groupName>语法问题</groupName>
      <ability>L2_Missing</ability>
      <abilityName>成分残缺</abilityName>
      <candidateList>
        <item>的建议，</item>
      </candidateList>
      <explain>句子中可能存在主谓宾、修饰语或者必要的词语残缺。</explain>
      <paraID>68E4B511</paraID>
      <start>117</start>
      <end>121</end>
      <status>modified</status>
      <modifiedWord>的建议，</modifiedWord>
      <trackRevisions>false</trackRevisions>
    </reviewItem>
    <reviewItem>
      <errorID>6c99cef7-ccf4-40e3-bed9-b4317fc32604</errorID>
      <errorWord>法律、法规</errorWord>
      <group>L1_Word</group>
      <groupName>字词问题</groupName>
      <ability>L2_Typo</ability>
      <abilityName>字词错误</abilityName>
      <candidateList>
        <item>法律法规</item>
      </candidateList>
      <explain/>
      <paraID> 6C7E54B</paraID>
      <start>16</start>
      <end>21</end>
      <status>ignored</status>
      <modifiedWord/>
      <trackRevisions>false</trackRevisions>
    </reviewItem>
    <reviewItem>
      <errorID>e67e8850-f899-49d8-aca6-9c4e0bd08a1a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3DB41AD4</paraID>
      <start>0</start>
      <end>2</end>
      <status>modified</status>
      <modifiedWord>1.</modifiedWord>
      <trackRevisions>false</trackRevisions>
    </reviewItem>
    <reviewItem>
      <errorID>8b6974d7-2d12-48e9-b9a5-9f088224b739</errorID>
      <errorWord>中华人民共和国标准法</errorWord>
      <group>L1_Knowledge</group>
      <groupName>知识性问题</groupName>
      <ability>L2_Knowledge</ability>
      <abilityName>其他知识</abilityName>
      <candidateList>
        <item>中华人民共和国标准化法</item>
      </candidateList>
      <explain>当前法律法规未收录或尚未生效，注意核查是否正确。</explain>
      <paraID>417613C7</paraID>
      <start>5</start>
      <end>15</end>
      <status>ignored</status>
      <modifiedWord/>
      <trackRevisions>false</trackRevisions>
    </reviewItem>
    <reviewItem>
      <errorID>954b071e-b68c-4bca-bfc5-7a8e7de6d89b</errorID>
      <errorWord>法律、法规</errorWord>
      <group>L1_Word</group>
      <groupName>字词问题</groupName>
      <ability>L2_Typo</ability>
      <abilityName>字词错误</abilityName>
      <candidateList>
        <item>法律法规</item>
      </candidateList>
      <explain/>
      <paraID>65D1F43D</paraID>
      <start>8</start>
      <end>12</end>
      <status>modified</status>
      <modifiedWord>法律法规</modifiedWord>
      <trackRevisions>false</trackRevisions>
    </reviewItem>
    <reviewItem>
      <errorID>f002ed69-c695-440b-99cc-bd62e2bf04ac</errorID>
      <errorWord>标</errorWord>
      <group>L1_Grammar</group>
      <groupName>语法问题</groupName>
      <ability>L2_Order</ability>
      <abilityName>语序不当</abilityName>
      <candidateList>
        <item>制标</item>
      </candidateList>
      <explain>句子可能没有遵循时空、逻辑顺序，或者介词、关联词等位置不当。</explain>
      <paraID>65D1F43D</paraID>
      <start>14</start>
      <end>16</end>
      <status>modified</status>
      <modifiedWord>制标</modifiedWord>
      <trackRevisions>false</trackRevisions>
    </reviewItem>
    <reviewItem>
      <errorID>6744f2bf-d3e6-4ded-8fe5-af3eb6c72f69</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 F72F3D1</paraID>
      <start>20</start>
      <end>24</end>
      <status>ignored</status>
      <modifiedWord/>
      <trackRevisions>false</trackRevisions>
    </reviewItem>
    <reviewItem>
      <errorID>789b921f-2004-4dc1-945d-5a57e4ea6bb7</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401AE83C</paraID>
      <start>133</start>
      <end>137</end>
      <status>ignored</status>
      <modifiedWord/>
      <trackRevisions>false</trackRevisions>
    </reviewItem>
    <reviewItem>
      <errorID>e1d4d6bb-f182-4aa4-aa5f-054d54ba46a0</errorID>
      <errorWord>作</errorWord>
      <group>L1_Grammar</group>
      <groupName>语法问题</groupName>
      <ability>L2_Confusion</ability>
      <abilityName>结构混乱</abilityName>
      <candidateList>
        <item>，它们作</item>
      </candidateList>
      <explain>句子中可能存在两种以上的句法结构，导致结构混乱。</explain>
      <paraID>401AE83C</paraID>
      <start>232</start>
      <end>233</end>
      <status>ignored</status>
      <modifiedWord/>
      <trackRevisions>false</trackRevisions>
    </reviewItem>
    <reviewItem>
      <errorID>691b505a-515f-446f-883b-9a670f90e152</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283D6FE6</paraID>
      <start>95</start>
      <end>99</end>
      <status>ignored</status>
      <modifiedWord/>
      <trackRevisions>false</trackRevisions>
    </reviewItem>
    <reviewItem>
      <errorID>effe0bd6-dce0-4bf8-95e4-dac6ed6badb5</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230849F1</paraID>
      <start>130</start>
      <end>137</end>
      <status>modified</status>
      <modifiedWord>60%～80%</modifiedWord>
      <trackRevisions>false</trackRevisions>
    </reviewItem>
    <reviewItem>
      <errorID>e8aa6628-3dbe-486c-9095-a6f0c8cc4fdb</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230849F1</paraID>
      <start>274</start>
      <end>278</end>
      <status>ignored</status>
      <modifiedWord/>
      <trackRevisions>false</trackRevisions>
    </reviewItem>
    <reviewItem>
      <errorID>f601e056-2866-487e-a4be-ab394338b146</errorID>
      <errorWord>髙</errorWord>
      <group>L1_Word</group>
      <groupName>字词问题</groupName>
      <ability>L2_Variant</ability>
      <abilityName>异形词</abilityName>
      <candidateList>
        <item>高</item>
      </candidateList>
      <explain>词汇[髙]的规范词形写作[高]。</explain>
      <paraID>7ECE8C17</paraID>
      <start>31</start>
      <end>32</end>
      <status>modified</status>
      <modifiedWord>高</modifiedWord>
      <trackRevisions>false</trackRevisions>
    </reviewItem>
    <reviewItem>
      <errorID>5172cdf7-1a77-4efe-ae5d-0b56905e2ef2</errorID>
      <errorWord>(</errorWord>
      <group>L1_Format</group>
      <groupName>格式问题</groupName>
      <ability>L2_HalfPunc</ability>
      <abilityName>全半角检查</abilityName>
      <candidateList>
        <item>（</item>
      </candidateList>
      <explain>文本全半角错误。</explain>
      <paraID>618045D8</paraID>
      <start>35</start>
      <end>36</end>
      <status>modified</status>
      <modifiedWord>（</modifiedWord>
      <trackRevisions>false</trackRevisions>
    </reviewItem>
    <reviewItem>
      <errorID>67f5aa06-5a42-4744-a9b2-13d268ad2dc3</errorID>
      <errorWord>)</errorWord>
      <group>L1_Format</group>
      <groupName>格式问题</groupName>
      <ability>L2_HalfPunc</ability>
      <abilityName>全半角检查</abilityName>
      <candidateList>
        <item>）</item>
      </candidateList>
      <explain>文本全半角错误。</explain>
      <paraID>618045D8</paraID>
      <start>38</start>
      <end>39</end>
      <status>modified</status>
      <modifiedWord>）</modifiedWord>
      <trackRevisions>false</trackRevisions>
    </reviewItem>
    <reviewItem>
      <errorID>c6316e02-0abf-403a-bcbf-d5f097d5cd3f</errorID>
      <errorWord>(</errorWord>
      <group>L1_Format</group>
      <groupName>格式问题</groupName>
      <ability>L2_HalfPunc</ability>
      <abilityName>全半角检查</abilityName>
      <candidateList>
        <item>（</item>
      </candidateList>
      <explain>文本全半角错误。</explain>
      <paraID>618045D8</paraID>
      <start>45</start>
      <end>46</end>
      <status>modified</status>
      <modifiedWord>（</modifiedWord>
      <trackRevisions>false</trackRevisions>
    </reviewItem>
    <reviewItem>
      <errorID>b9b13e50-435d-4e8e-8b47-28ddfe0baee9</errorID>
      <errorWord>)</errorWord>
      <group>L1_Format</group>
      <groupName>格式问题</groupName>
      <ability>L2_HalfPunc</ability>
      <abilityName>全半角检查</abilityName>
      <candidateList>
        <item>）</item>
      </candidateList>
      <explain>文本全半角错误。</explain>
      <paraID>618045D8</paraID>
      <start>49</start>
      <end>50</end>
      <status>modified</status>
      <modifiedWord>）</modifiedWord>
      <trackRevisions>false</trackRevisions>
    </reviewItem>
    <reviewItem>
      <errorID>f5635288-b382-4915-9205-3b195773b7cb</errorID>
      <errorWord>(</errorWord>
      <group>L1_Format</group>
      <groupName>格式问题</groupName>
      <ability>L2_HalfPunc</ability>
      <abilityName>全半角检查</abilityName>
      <candidateList>
        <item>（</item>
      </candidateList>
      <explain>文本全半角错误。</explain>
      <paraID>618045D8</paraID>
      <start>57</start>
      <end>58</end>
      <status>modified</status>
      <modifiedWord>（</modifiedWord>
      <trackRevisions>false</trackRevisions>
    </reviewItem>
    <reviewItem>
      <errorID>674112fd-d963-4f3a-915b-42380d2ffce6</errorID>
      <errorWord>)</errorWord>
      <group>L1_Format</group>
      <groupName>格式问题</groupName>
      <ability>L2_HalfPunc</ability>
      <abilityName>全半角检查</abilityName>
      <candidateList>
        <item>）</item>
      </candidateList>
      <explain>文本全半角错误。</explain>
      <paraID>618045D8</paraID>
      <start>60</start>
      <end>61</end>
      <status>modified</status>
      <modifiedWord>）</modifiedWord>
      <trackRevisions>false</trackRevisions>
    </reviewItem>
    <reviewItem>
      <errorID>882597c4-5486-420c-93f5-bc96c28d0721</errorID>
      <errorWord>(</errorWord>
      <group>L1_Format</group>
      <groupName>格式问题</groupName>
      <ability>L2_HalfPunc</ability>
      <abilityName>全半角检查</abilityName>
      <candidateList>
        <item>（</item>
      </candidateList>
      <explain>文本全半角错误。</explain>
      <paraID>618045D8</paraID>
      <start>65</start>
      <end>66</end>
      <status>modified</status>
      <modifiedWord>（</modifiedWord>
      <trackRevisions>false</trackRevisions>
    </reviewItem>
    <reviewItem>
      <errorID>18dfdb32-ad50-4d1e-9428-de07a109c120</errorID>
      <errorWord>)</errorWord>
      <group>L1_Format</group>
      <groupName>格式问题</groupName>
      <ability>L2_HalfPunc</ability>
      <abilityName>全半角检查</abilityName>
      <candidateList>
        <item>）</item>
      </candidateList>
      <explain>文本全半角错误。</explain>
      <paraID>618045D8</paraID>
      <start>69</start>
      <end>70</end>
      <status>modified</status>
      <modifiedWord>）</modifiedWord>
      <trackRevisions>false</trackRevisions>
    </reviewItem>
    <reviewItem>
      <errorID>8be0869a-e8db-4528-b7e4-33cd25f0f982</errorID>
      <errorWord>(</errorWord>
      <group>L1_Format</group>
      <groupName>格式问题</groupName>
      <ability>L2_HalfPunc</ability>
      <abilityName>全半角检查</abilityName>
      <candidateList>
        <item>（</item>
      </candidateList>
      <explain>文本全半角错误。</explain>
      <paraID>618045D8</paraID>
      <start>74</start>
      <end>75</end>
      <status>modified</status>
      <modifiedWord>（</modifiedWord>
      <trackRevisions>false</trackRevisions>
    </reviewItem>
    <reviewItem>
      <errorID>b5df3d45-d23f-43da-a5df-a0537cac606d</errorID>
      <errorWord>)</errorWord>
      <group>L1_Format</group>
      <groupName>格式问题</groupName>
      <ability>L2_HalfPunc</ability>
      <abilityName>全半角检查</abilityName>
      <candidateList>
        <item>）</item>
      </candidateList>
      <explain>文本全半角错误。</explain>
      <paraID>618045D8</paraID>
      <start>76</start>
      <end>77</end>
      <status>modified</status>
      <modifiedWord>）</modifiedWord>
      <trackRevisions>false</trackRevisions>
    </reviewItem>
    <reviewItem>
      <errorID>1b3d128d-e96f-40a9-a709-1edbbf2e292e</errorID>
      <errorWord>(</errorWord>
      <group>L1_Format</group>
      <groupName>格式问题</groupName>
      <ability>L2_HalfPunc</ability>
      <abilityName>全半角检查</abilityName>
      <candidateList>
        <item>（</item>
      </candidateList>
      <explain>文本全半角错误。</explain>
      <paraID>618045D8</paraID>
      <start>84</start>
      <end>85</end>
      <status>modified</status>
      <modifiedWord>（</modifiedWord>
      <trackRevisions>false</trackRevisions>
    </reviewItem>
    <reviewItem>
      <errorID>b7d6e489-08f4-409f-8f00-12051423e54a</errorID>
      <errorWord>)</errorWord>
      <group>L1_Format</group>
      <groupName>格式问题</groupName>
      <ability>L2_HalfPunc</ability>
      <abilityName>全半角检查</abilityName>
      <candidateList>
        <item>）</item>
      </candidateList>
      <explain>文本全半角错误。</explain>
      <paraID>618045D8</paraID>
      <start>88</start>
      <end>89</end>
      <status>modified</status>
      <modifiedWord>）</modifiedWord>
      <trackRevisions>false</trackRevisions>
    </reviewItem>
    <reviewItem>
      <errorID>89e473b5-6fa6-46e3-98b2-2e075873adbc</errorID>
      <errorWord>(</errorWord>
      <group>L1_Format</group>
      <groupName>格式问题</groupName>
      <ability>L2_HalfPunc</ability>
      <abilityName>全半角检查</abilityName>
      <candidateList>
        <item>（</item>
      </candidateList>
      <explain>文本全半角错误。</explain>
      <paraID>742A7B29</paraID>
      <start>76</start>
      <end>77</end>
      <status>modified</status>
      <modifiedWord>（</modifiedWord>
      <trackRevisions>false</trackRevisions>
    </reviewItem>
    <reviewItem>
      <errorID>9375ae8f-8291-4d5a-85fa-125e8878609b</errorID>
      <errorWord>)</errorWord>
      <group>L1_Format</group>
      <groupName>格式问题</groupName>
      <ability>L2_HalfPunc</ability>
      <abilityName>全半角检查</abilityName>
      <candidateList>
        <item>）</item>
      </candidateList>
      <explain>文本全半角错误。</explain>
      <paraID>742A7B29</paraID>
      <start>81</start>
      <end>82</end>
      <status>modified</status>
      <modifiedWord>）</modifiedWord>
      <trackRevisions>false</trackRevisions>
    </reviewItem>
    <reviewItem>
      <errorID>f95cde4c-57e8-4c41-b53b-aacb8db7be89</errorID>
      <errorWord>(</errorWord>
      <group>L1_Format</group>
      <groupName>格式问题</groupName>
      <ability>L2_HalfPunc</ability>
      <abilityName>全半角检查</abilityName>
      <candidateList>
        <item>（</item>
      </candidateList>
      <explain>文本全半角错误。</explain>
      <paraID>742A7B29</paraID>
      <start>90</start>
      <end>91</end>
      <status>modified</status>
      <modifiedWord>（</modifiedWord>
      <trackRevisions>false</trackRevisions>
    </reviewItem>
    <reviewItem>
      <errorID>21437bf3-320b-43ab-9e8a-b3b03bc040f8</errorID>
      <errorWord>)</errorWord>
      <group>L1_Format</group>
      <groupName>格式问题</groupName>
      <ability>L2_HalfPunc</ability>
      <abilityName>全半角检查</abilityName>
      <candidateList>
        <item>）</item>
      </candidateList>
      <explain>文本全半角错误。</explain>
      <paraID>742A7B29</paraID>
      <start>95</start>
      <end>96</end>
      <status>modified</status>
      <modifiedWord>）</modifiedWord>
      <trackRevisions>false</trackRevisions>
    </reviewItem>
    <reviewItem>
      <errorID>7722ac80-35c3-46b6-a1fe-0522c5d43162</errorID>
      <errorWord>(</errorWord>
      <group>L1_Format</group>
      <groupName>格式问题</groupName>
      <ability>L2_HalfPunc</ability>
      <abilityName>全半角检查</abilityName>
      <candidateList>
        <item>（</item>
      </candidateList>
      <explain>文本全半角错误。</explain>
      <paraID>742A7B29</paraID>
      <start>128</start>
      <end>129</end>
      <status>modified</status>
      <modifiedWord>（</modifiedWord>
      <trackRevisions>false</trackRevisions>
    </reviewItem>
    <reviewItem>
      <errorID>169edc53-b768-4b6e-b516-65381f4ad4f0</errorID>
      <errorWord>)</errorWord>
      <group>L1_Format</group>
      <groupName>格式问题</groupName>
      <ability>L2_HalfPunc</ability>
      <abilityName>全半角检查</abilityName>
      <candidateList>
        <item>）</item>
      </candidateList>
      <explain>文本全半角错误。</explain>
      <paraID>742A7B29</paraID>
      <start>132</start>
      <end>133</end>
      <status>modified</status>
      <modifiedWord>）</modifiedWord>
      <trackRevisions>false</trackRevisions>
    </reviewItem>
    <reviewItem>
      <errorID>3a205f64-e83a-4227-aacd-675a8c1f767f</errorID>
      <errorWord>(</errorWord>
      <group>L1_Format</group>
      <groupName>格式问题</groupName>
      <ability>L2_HalfPunc</ability>
      <abilityName>全半角检查</abilityName>
      <candidateList>
        <item>（</item>
      </candidateList>
      <explain>文本全半角错误。</explain>
      <paraID>742A7B29</paraID>
      <start>143</start>
      <end>144</end>
      <status>modified</status>
      <modifiedWord>（</modifiedWord>
      <trackRevisions>false</trackRevisions>
    </reviewItem>
    <reviewItem>
      <errorID>61b28728-b56a-44dc-8eb1-3abefcbded18</errorID>
      <errorWord>)</errorWord>
      <group>L1_Format</group>
      <groupName>格式问题</groupName>
      <ability>L2_HalfPunc</ability>
      <abilityName>全半角检查</abilityName>
      <candidateList>
        <item>）</item>
      </candidateList>
      <explain>文本全半角错误。</explain>
      <paraID>742A7B29</paraID>
      <start>147</start>
      <end>148</end>
      <status>modified</status>
      <modifiedWord>）</modifiedWord>
      <trackRevisions>false</trackRevisions>
    </reviewItem>
    <reviewItem>
      <errorID>82c28e95-9210-4781-86f9-3203ffe1fb2b</errorID>
      <errorWord>(</errorWord>
      <group>L1_Format</group>
      <groupName>格式问题</groupName>
      <ability>L2_HalfPunc</ability>
      <abilityName>全半角检查</abilityName>
      <candidateList>
        <item>（</item>
      </candidateList>
      <explain>文本全半角错误。</explain>
      <paraID>742A7B29</paraID>
      <start>154</start>
      <end>155</end>
      <status>modified</status>
      <modifiedWord>（</modifiedWord>
      <trackRevisions>false</trackRevisions>
    </reviewItem>
    <reviewItem>
      <errorID>9c1d25d1-bd1b-4f72-ae6b-03a234947b77</errorID>
      <errorWord>)</errorWord>
      <group>L1_Format</group>
      <groupName>格式问题</groupName>
      <ability>L2_HalfPunc</ability>
      <abilityName>全半角检查</abilityName>
      <candidateList>
        <item>）</item>
      </candidateList>
      <explain>文本全半角错误。</explain>
      <paraID>742A7B29</paraID>
      <start>158</start>
      <end>159</end>
      <status>modified</status>
      <modifiedWord>）</modifiedWord>
      <trackRevisions>false</trackRevisions>
    </reviewItem>
    <reviewItem>
      <errorID>2c206e24-4cba-4c88-9499-0b3873253c7e</errorID>
      <errorWord>(</errorWord>
      <group>L1_Format</group>
      <groupName>格式问题</groupName>
      <ability>L2_HalfPunc</ability>
      <abilityName>全半角检查</abilityName>
      <candidateList>
        <item>（</item>
      </candidateList>
      <explain>文本全半角错误。</explain>
      <paraID>742A7B29</paraID>
      <start>167</start>
      <end>168</end>
      <status>modified</status>
      <modifiedWord>（</modifiedWord>
      <trackRevisions>false</trackRevisions>
    </reviewItem>
    <reviewItem>
      <errorID>ec7969ae-fa0e-4bd2-ba59-d78de0601dcd</errorID>
      <errorWord>)</errorWord>
      <group>L1_Format</group>
      <groupName>格式问题</groupName>
      <ability>L2_HalfPunc</ability>
      <abilityName>全半角检查</abilityName>
      <candidateList>
        <item>）</item>
      </candidateList>
      <explain>文本全半角错误。</explain>
      <paraID>742A7B29</paraID>
      <start>171</start>
      <end>172</end>
      <status>modified</status>
      <modifiedWord>）</modifiedWord>
      <trackRevisions>false</trackRevisions>
    </reviewItem>
    <reviewItem>
      <errorID>ba2a4d8a-4339-4625-9fe2-2da1d02937e3</errorID>
      <errorWord>(</errorWord>
      <group>L1_Format</group>
      <groupName>格式问题</groupName>
      <ability>L2_HalfPunc</ability>
      <abilityName>全半角检查</abilityName>
      <candidateList>
        <item>（</item>
      </candidateList>
      <explain>文本全半角错误。</explain>
      <paraID>742A7B29</paraID>
      <start>205</start>
      <end>206</end>
      <status>modified</status>
      <modifiedWord>（</modifiedWord>
      <trackRevisions>false</trackRevisions>
    </reviewItem>
    <reviewItem>
      <errorID>7e16ba4b-a7ab-4dc8-8889-6ce894cf8098</errorID>
      <errorWord>)</errorWord>
      <group>L1_Format</group>
      <groupName>格式问题</groupName>
      <ability>L2_HalfPunc</ability>
      <abilityName>全半角检查</abilityName>
      <candidateList>
        <item>）</item>
      </candidateList>
      <explain>文本全半角错误。</explain>
      <paraID>742A7B29</paraID>
      <start>209</start>
      <end>210</end>
      <status>modified</status>
      <modifiedWord>）</modifiedWord>
      <trackRevisions>false</trackRevisions>
    </reviewItem>
    <reviewItem>
      <errorID>3b451d26-fa84-48a9-b95d-eb978625730d</errorID>
      <errorWord>(</errorWord>
      <group>L1_Format</group>
      <groupName>格式问题</groupName>
      <ability>L2_HalfPunc</ability>
      <abilityName>全半角检查</abilityName>
      <candidateList>
        <item>（</item>
      </candidateList>
      <explain>文本全半角错误。</explain>
      <paraID>742A7B29</paraID>
      <start>221</start>
      <end>222</end>
      <status>modified</status>
      <modifiedWord>（</modifiedWord>
      <trackRevisions>false</trackRevisions>
    </reviewItem>
    <reviewItem>
      <errorID>f8eb0209-487b-408b-b8a0-d370a690cef0</errorID>
      <errorWord>)</errorWord>
      <group>L1_Format</group>
      <groupName>格式问题</groupName>
      <ability>L2_HalfPunc</ability>
      <abilityName>全半角检查</abilityName>
      <candidateList>
        <item>）</item>
      </candidateList>
      <explain>文本全半角错误。</explain>
      <paraID>742A7B29</paraID>
      <start>226</start>
      <end>227</end>
      <status>modified</status>
      <modifiedWord>）</modifiedWord>
      <trackRevisions>false</trackRevisions>
    </reviewItem>
    <reviewItem>
      <errorID>bf842450-d674-47f8-a11b-573b61865ef3</errorID>
      <errorWord>(</errorWord>
      <group>L1_Format</group>
      <groupName>格式问题</groupName>
      <ability>L2_HalfPunc</ability>
      <abilityName>全半角检查</abilityName>
      <candidateList>
        <item>（</item>
      </candidateList>
      <explain>文本全半角错误。</explain>
      <paraID>742A7B29</paraID>
      <start>240</start>
      <end>241</end>
      <status>modified</status>
      <modifiedWord>（</modifiedWord>
      <trackRevisions>false</trackRevisions>
    </reviewItem>
    <reviewItem>
      <errorID>0373e712-db46-4444-a4ea-9a6df91dd06d</errorID>
      <errorWord>)</errorWord>
      <group>L1_Format</group>
      <groupName>格式问题</groupName>
      <ability>L2_HalfPunc</ability>
      <abilityName>全半角检查</abilityName>
      <candidateList>
        <item>）</item>
      </candidateList>
      <explain>文本全半角错误。</explain>
      <paraID>742A7B29</paraID>
      <start>243</start>
      <end>244</end>
      <status>modified</status>
      <modifiedWord>）</modifiedWord>
      <trackRevisions>false</trackRevisions>
    </reviewItem>
    <reviewItem>
      <errorID>054da035-005b-4aec-bfab-caa73d4a7313</errorID>
      <errorWord>(</errorWord>
      <group>L1_Format</group>
      <groupName>格式问题</groupName>
      <ability>L2_HalfPunc</ability>
      <abilityName>全半角检查</abilityName>
      <candidateList>
        <item>（</item>
      </candidateList>
      <explain>文本全半角错误。</explain>
      <paraID>742A7B29</paraID>
      <start>258</start>
      <end>259</end>
      <status>modified</status>
      <modifiedWord>（</modifiedWord>
      <trackRevisions>false</trackRevisions>
    </reviewItem>
    <reviewItem>
      <errorID>cf3eaf87-f8ed-4b5f-b46f-64bef8838b78</errorID>
      <errorWord>)</errorWord>
      <group>L1_Format</group>
      <groupName>格式问题</groupName>
      <ability>L2_HalfPunc</ability>
      <abilityName>全半角检查</abilityName>
      <candidateList>
        <item>）</item>
      </candidateList>
      <explain>文本全半角错误。</explain>
      <paraID>742A7B29</paraID>
      <start>263</start>
      <end>264</end>
      <status>modified</status>
      <modifiedWord>）</modifiedWord>
      <trackRevisions>false</trackRevisions>
    </reviewItem>
    <reviewItem>
      <errorID>13419979-de69-43a0-8c1a-840c3203a655</errorID>
      <errorWord>影响中</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3B43A3D4</paraID>
      <start>345</start>
      <end>348</end>
      <status>ignored</status>
      <modifiedWord/>
      <trackRevisions>false</trackRevisions>
    </reviewItem>
    <reviewItem>
      <errorID>fd2f5058-daa2-430c-996b-84ba685ede4b</errorID>
      <errorWord>作</errorWord>
      <group>L1_Word</group>
      <groupName>字词问题</groupName>
      <ability>L2_Typo</ability>
      <abilityName>字词错误</abilityName>
      <candidateList>
        <item>做</item>
      </candidateList>
      <explain>存在发音相同字词的误用。</explain>
      <paraID>75336E0F</paraID>
      <start>30</start>
      <end>31</end>
      <status>modified</status>
      <modifiedWord>做</modifiedWord>
      <trackRevisions>false</trackRevisions>
    </reviewItem>
    <reviewItem>
      <errorID>ed80d302-b51d-4af8-9f73-3c351454c0b2</errorID>
      <errorWord>均有</errorWord>
      <group>L1_Word</group>
      <groupName>字词问题</groupName>
      <ability>L2_Typo</ability>
      <abilityName>字词错误</abilityName>
      <candidateList>
        <item>均</item>
      </candidateList>
      <explain/>
      <paraID> BDE9466</paraID>
      <start>69</start>
      <end>70</end>
      <status>modified</status>
      <modifiedWord>均</modifiedWord>
      <trackRevisions>false</trackRevisions>
    </reviewItem>
    <reviewItem>
      <errorID>40c7120d-8b43-49ab-9a22-031a709e5f5a</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129</start>
      <end>131</end>
      <status>modified</status>
      <modifiedWord>1）</modifiedWord>
      <trackRevisions>false</trackRevisions>
    </reviewItem>
    <reviewItem>
      <errorID>817dcbaf-92a7-45be-8f16-7ff7d4a63398</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144</start>
      <end>146</end>
      <status>modified</status>
      <modifiedWord>1）</modifiedWord>
      <trackRevisions>false</trackRevisions>
    </reviewItem>
    <reviewItem>
      <errorID>ed63e67b-3fa8-408b-9ca9-4b76fc0b239d</errorID>
      <errorWord>（</errorWord>
      <group>L1_Punc</group>
      <groupName>标点问题</groupName>
      <ability>L2_Punc</ability>
      <abilityName>标点符号检查</abilityName>
      <candidateList/>
      <explain/>
      <paraID>68C7DA13</paraID>
      <start>16</start>
      <end>17</end>
      <status>ignored</status>
      <modifiedWord/>
      <trackRevisions>false</trackRevisions>
    </reviewItem>
    <reviewItem>
      <errorID>81bfeb07-d3e8-49f3-9384-475417dcedd7</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68C7DA13</paraID>
      <start>58</start>
      <end>60</end>
      <status>modified</status>
      <modifiedWord>1）</modifiedWord>
      <trackRevisions>false</trackRevisions>
    </reviewItem>
    <reviewItem>
      <errorID>bf3bf3e2-e20a-477f-9750-6526a85edb2a</errorID>
      <errorWord>(</errorWord>
      <group>L1_Format</group>
      <groupName>格式问题</groupName>
      <ability>L2_HalfPunc</ability>
      <abilityName>全半角检查</abilityName>
      <candidateList>
        <item>（</item>
      </candidateList>
      <explain>文本全半角错误。</explain>
      <paraID>40364276</paraID>
      <start>2</start>
      <end>3</end>
      <status>ignored</status>
      <modifiedWord/>
      <trackRevisions>false</trackRevisions>
    </reviewItem>
    <reviewItem>
      <errorID>4e81d957-7d23-4904-8b51-169d4b23b4fb</errorID>
      <errorWord>)</errorWord>
      <group>L1_Format</group>
      <groupName>格式问题</groupName>
      <ability>L2_HalfPunc</ability>
      <abilityName>全半角检查</abilityName>
      <candidateList>
        <item>）</item>
      </candidateList>
      <explain>文本全半角错误。</explain>
      <paraID>40364276</paraID>
      <start>5</start>
      <end>6</end>
      <status>ignored</status>
      <modifiedWord/>
      <trackRevisions>false</trackRevisions>
    </reviewItem>
    <reviewItem>
      <errorID>4d59167b-5eed-4b6e-b155-dd2cd92bb835</errorID>
      <errorWord>（</errorWord>
      <group>L1_Format</group>
      <groupName>格式问题</groupName>
      <ability>L2_HalfPunc</ability>
      <abilityName>全半角检查</abilityName>
      <candidateList>
        <item>(</item>
      </candidateList>
      <explain>文本全半角错误。</explain>
      <paraID>30A1A424</paraID>
      <start>0</start>
      <end>1</end>
      <status>ignored</status>
      <modifiedWord/>
      <trackRevisions>false</trackRevisions>
    </reviewItem>
    <reviewItem>
      <errorID>f40805dd-9cec-4686-bba2-4e03403639c5</errorID>
      <errorWord>）</errorWord>
      <group>L1_Format</group>
      <groupName>格式问题</groupName>
      <ability>L2_HalfPunc</ability>
      <abilityName>全半角检查</abilityName>
      <candidateList>
        <item>)</item>
      </candidateList>
      <explain>文本全半角错误。</explain>
      <paraID>30A1A424</paraID>
      <start>2</start>
      <end>3</end>
      <status>ignored</status>
      <modifiedWord/>
      <trackRevisions>false</trackRevisions>
    </reviewItem>
    <reviewItem>
      <errorID>f022df4d-65d1-43bb-b528-0247ff6eef9f</errorID>
      <errorWord>（</errorWord>
      <group>L1_Format</group>
      <groupName>格式问题</groupName>
      <ability>L2_HalfPunc</ability>
      <abilityName>全半角检查</abilityName>
      <candidateList>
        <item>(</item>
      </candidateList>
      <explain>文本全半角错误。</explain>
      <paraID>54207E53</paraID>
      <start>0</start>
      <end>1</end>
      <status>ignored</status>
      <modifiedWord/>
      <trackRevisions>false</trackRevisions>
    </reviewItem>
    <reviewItem>
      <errorID>77c05011-9d28-4a79-8fea-5cb2b05a6cc1</errorID>
      <errorWord>）</errorWord>
      <group>L1_Format</group>
      <groupName>格式问题</groupName>
      <ability>L2_HalfPunc</ability>
      <abilityName>全半角检查</abilityName>
      <candidateList>
        <item>)</item>
      </candidateList>
      <explain>文本全半角错误。</explain>
      <paraID>54207E53</paraID>
      <start>2</start>
      <end>3</end>
      <status>ignored</status>
      <modifiedWord/>
      <trackRevisions>false</trackRevisions>
    </reviewItem>
    <reviewItem>
      <errorID>32651926-8eb8-42d1-89af-34d6c9c7ea24</errorID>
      <errorWord>（</errorWord>
      <group>L1_Format</group>
      <groupName>格式问题</groupName>
      <ability>L2_HalfPunc</ability>
      <abilityName>全半角检查</abilityName>
      <candidateList>
        <item>(</item>
      </candidateList>
      <explain>文本全半角错误。</explain>
      <paraID>68056B6D</paraID>
      <start>0</start>
      <end>1</end>
      <status>ignored</status>
      <modifiedWord/>
      <trackRevisions>false</trackRevisions>
    </reviewItem>
    <reviewItem>
      <errorID>957d87ee-404c-4ca9-a05e-c83f090379b4</errorID>
      <errorWord>）</errorWord>
      <group>L1_Format</group>
      <groupName>格式问题</groupName>
      <ability>L2_HalfPunc</ability>
      <abilityName>全半角检查</abilityName>
      <candidateList>
        <item>)</item>
      </candidateList>
      <explain>文本全半角错误。</explain>
      <paraID>68056B6D</paraID>
      <start>2</start>
      <end>3</end>
      <status>ignored</status>
      <modifiedWord/>
      <trackRevisions>false</trackRevisions>
    </reviewItem>
    <reviewItem>
      <errorID>59ea343c-bc81-451e-8734-e0dfbbf874b8</errorID>
      <errorWord>.</errorWord>
      <group>L1_Format</group>
      <groupName>格式问题</groupName>
      <ability>L2_HalfPunc</ability>
      <abilityName>全半角检查</abilityName>
      <candidateList>
        <item>。</item>
      </candidateList>
      <explain>文本全半角错误。</explain>
      <paraID>5F1F22DD</paraID>
      <start>237</start>
      <end>238</end>
      <status>modified</status>
      <modifiedWord>。</modifiedWord>
      <trackRevisions>false</trackRevisions>
    </reviewItem>
    <reviewItem>
      <errorID>3db968f5-7872-46ca-a857-62563dc790f0</errorID>
      <errorWord>中子数</errorWord>
      <group>L1_Word</group>
      <groupName>字词问题</groupName>
      <ability>L2_Typo</ability>
      <abilityName>字词错误</abilityName>
      <candidateList>
        <item>种子数</item>
      </candidateList>
      <explain/>
      <paraID>2BA652B3</paraID>
      <start>16</start>
      <end>19</end>
      <status>modified</status>
      <modifiedWord>种子数</modifiedWord>
      <trackRevisions>false</trackRevisions>
    </reviewItem>
    <reviewItem>
      <errorID>da11d1ea-844c-4b4c-8068-0d0fd6b8999e</errorID>
      <errorWord>)</errorWord>
      <group>L1_Format</group>
      <groupName>格式问题</groupName>
      <ability>L2_HalfPunc</ability>
      <abilityName>全半角检查</abilityName>
      <candidateList>
        <item>）</item>
      </candidateList>
      <explain>文本全半角错误。</explain>
      <paraID>25910407</paraID>
      <start>16</start>
      <end>17</end>
      <status>ignored</status>
      <modifiedWord/>
      <trackRevisions>false</trackRevisions>
    </reviewItem>
    <reviewItem>
      <errorID>6392479e-f4d6-4148-bda3-34d994735987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63</start>
      <end>69</end>
      <status>modified</status>
      <modifiedWord>0～100%</modifiedWord>
      <trackRevisions>false</trackRevisions>
    </reviewItem>
    <reviewItem>
      <errorID>afeffd0a-324f-4183-8980-fcd3e6a40190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217</start>
      <end>223</end>
      <status>modified</status>
      <modifiedWord>0～100%</modifiedWord>
      <trackRevisions>false</trackRevisions>
    </reviewItem>
    <reviewItem>
      <errorID>119a46c8-a991-424a-bcad-2b8da19fc127</errorID>
      <errorWord>*</errorWord>
      <group>L1_Punc</group>
      <groupName>标点问题</groupName>
      <ability>L2_Punc</ability>
      <abilityName>标点符号检查</abilityName>
      <candidateList/>
      <explain/>
      <paraID>4206D766</paraID>
      <start>0</start>
      <end>1</end>
      <status>ignored</status>
      <modifiedWord/>
      <trackRevisions>false</trackRevisions>
    </reviewItem>
    <reviewItem>
      <errorID>cb8e3fc9-0fcd-44bd-ba6d-61bdf2479d2b</errorID>
      <errorWord>(</errorWord>
      <group>L1_Format</group>
      <groupName>格式问题</groupName>
      <ability>L2_HalfPunc</ability>
      <abilityName>全半角检查</abilityName>
      <candidateList>
        <item>（</item>
      </candidateList>
      <explain>文本全半角错误。</explain>
      <paraID> E818E8A</paraID>
      <start>9</start>
      <end>10</end>
      <status>ignored</status>
      <modifiedWord/>
      <trackRevisions>false</trackRevisions>
    </reviewItem>
    <reviewItem>
      <errorID>b52a93e3-bcb2-4955-a77c-3079c2220ad4</errorID>
      <errorWord>)</errorWord>
      <group>L1_Format</group>
      <groupName>格式问题</groupName>
      <ability>L2_HalfPunc</ability>
      <abilityName>全半角检查</abilityName>
      <candidateList>
        <item>）</item>
      </candidateList>
      <explain>文本全半角错误。</explain>
      <paraID> E818E8A</paraID>
      <start>12</start>
      <end>13</end>
      <status>ignored</status>
      <modifiedWord/>
      <trackRevisions>false</trackRevisions>
    </reviewItem>
    <reviewItem>
      <errorID>be9dd000-b11f-4f07-b1b2-a5a88e92ba2d</errorID>
      <errorWord>(</errorWord>
      <group>L1_Format</group>
      <groupName>格式问题</groupName>
      <ability>L2_HalfPunc</ability>
      <abilityName>全半角检查</abilityName>
      <candidateList>
        <item>（</item>
      </candidateList>
      <explain>文本全半角错误。</explain>
      <paraID>6332F358</paraID>
      <start>9</start>
      <end>10</end>
      <status>ignored</status>
      <modifiedWord/>
      <trackRevisions>false</trackRevisions>
    </reviewItem>
    <reviewItem>
      <errorID>057f8df3-0b95-4c06-9106-ea3bc3fba6b1</errorID>
      <errorWord>)</errorWord>
      <group>L1_Format</group>
      <groupName>格式问题</groupName>
      <ability>L2_HalfPunc</ability>
      <abilityName>全半角检查</abilityName>
      <candidateList>
        <item>）</item>
      </candidateList>
      <explain>文本全半角错误。</explain>
      <paraID>6332F358</paraID>
      <start>12</start>
      <end>13</end>
      <status>ignored</status>
      <modifiedWord/>
      <trackRevisions>false</trackRevisions>
    </reviewItem>
    <reviewItem>
      <errorID>1304e306-e13d-4639-850f-aaaa5a92a8ed</errorID>
      <errorWord>(</errorWord>
      <group>L1_Format</group>
      <groupName>格式问题</groupName>
      <ability>L2_HalfPunc</ability>
      <abilityName>全半角检查</abilityName>
      <candidateList>
        <item>（</item>
      </candidateList>
      <explain>文本全半角错误。</explain>
      <paraID> 941EDD9</paraID>
      <start>18</start>
      <end>19</end>
      <status>ignored</status>
      <modifiedWord/>
      <trackRevisions>false</trackRevisions>
    </reviewItem>
    <reviewItem>
      <errorID>0546f508-38fd-40a3-a012-5b4c02ca34b2</errorID>
      <errorWord>)</errorWord>
      <group>L1_Format</group>
      <groupName>格式问题</groupName>
      <ability>L2_HalfPunc</ability>
      <abilityName>全半角检查</abilityName>
      <candidateList>
        <item>）</item>
      </candidateList>
      <explain>文本全半角错误。</explain>
      <paraID> 941EDD9</paraID>
      <start>21</start>
      <end>22</end>
      <status>ignored</status>
      <modifiedWord/>
      <trackRevisions>false</trackRevisions>
    </reviewItem>
    <reviewItem>
      <errorID>215852fc-95ce-4caa-bca4-e2ce687a7b6c</errorID>
      <errorWord>（</errorWord>
      <group>L1_Format</group>
      <groupName>格式问题</groupName>
      <ability>L2_HalfPunc</ability>
      <abilityName>全半角检查</abilityName>
      <candidateList>
        <item>(</item>
      </candidateList>
      <explain>文本全半角错误。</explain>
      <paraID>4D8F834E</paraID>
      <start>3</start>
      <end>4</end>
      <status>ignored</status>
      <modifiedWord/>
      <trackRevisions>false</trackRevisions>
    </reviewItem>
    <reviewItem>
      <errorID>28787cce-a696-4319-9fb4-493b47d97fc6</errorID>
      <errorWord>）</errorWord>
      <group>L1_Format</group>
      <groupName>格式问题</groupName>
      <ability>L2_HalfPunc</ability>
      <abilityName>全半角检查</abilityName>
      <candidateList>
        <item>)</item>
      </candidateList>
      <explain>文本全半角错误。</explain>
      <paraID>4D8F834E</paraID>
      <start>9</start>
      <end>10</end>
      <status>ignored</status>
      <modifiedWord/>
      <trackRevisions>false</trackRevisions>
    </reviewItem>
    <reviewItem>
      <errorID>5bb6732b-3ce8-4399-84ca-21e3d84cf530</errorID>
      <errorWord>（</errorWord>
      <group>L1_Format</group>
      <groupName>格式问题</groupName>
      <ability>L2_HalfPunc</ability>
      <abilityName>全半角检查</abilityName>
      <candidateList>
        <item>(</item>
      </candidateList>
      <explain>文本全半角错误。</explain>
      <paraID>682C3C23</paraID>
      <start>2</start>
      <end>3</end>
      <status>ignored</status>
      <modifiedWord/>
      <trackRevisions>false</trackRevisions>
    </reviewItem>
    <reviewItem>
      <errorID>fb8ac080-88a2-4f28-bc80-00701333b4b9</errorID>
      <errorWord>）</errorWord>
      <group>L1_Format</group>
      <groupName>格式问题</groupName>
      <ability>L2_HalfPunc</ability>
      <abilityName>全半角检查</abilityName>
      <candidateList>
        <item>)</item>
      </candidateList>
      <explain>文本全半角错误。</explain>
      <paraID>682C3C23</paraID>
      <start>8</start>
      <end>9</end>
      <status>ignored</status>
      <modifiedWord/>
      <trackRevisions>false</trackRevisions>
    </reviewItem>
    <reviewItem>
      <errorID>16a530ad-19db-4747-9160-35796f692446</errorID>
      <errorWord>（</errorWord>
      <group>L1_Format</group>
      <groupName>格式问题</groupName>
      <ability>L2_HalfPunc</ability>
      <abilityName>全半角检查</abilityName>
      <candidateList>
        <item>(</item>
      </candidateList>
      <explain>文本全半角错误。</explain>
      <paraID>635374D6</paraID>
      <start>2</start>
      <end>3</end>
      <status>ignored</status>
      <modifiedWord/>
      <trackRevisions>false</trackRevisions>
    </reviewItem>
    <reviewItem>
      <errorID>68593915-2305-457b-b707-f4fdb7c14586</errorID>
      <errorWord>）</errorWord>
      <group>L1_Format</group>
      <groupName>格式问题</groupName>
      <ability>L2_HalfPunc</ability>
      <abilityName>全半角检查</abilityName>
      <candidateList>
        <item>)</item>
      </candidateList>
      <explain>文本全半角错误。</explain>
      <paraID>635374D6</paraID>
      <start>8</start>
      <end>9</end>
      <status>ignored</status>
      <modifiedWord/>
      <trackRevisions>false</trackRevisions>
    </reviewItem>
    <reviewItem>
      <errorID>119711f5-999a-48f5-ad6f-9f758b501207</errorID>
      <errorWord>（</errorWord>
      <group>L1_Format</group>
      <groupName>格式问题</groupName>
      <ability>L2_HalfPunc</ability>
      <abilityName>全半角检查</abilityName>
      <candidateList>
        <item>(</item>
      </candidateList>
      <explain>文本全半角错误。</explain>
      <paraID>65F9EB43</paraID>
      <start>3</start>
      <end>4</end>
      <status>ignored</status>
      <modifiedWord/>
      <trackRevisions>false</trackRevisions>
    </reviewItem>
    <reviewItem>
      <errorID>b7e4dfbf-9cd6-4d58-8647-9dfeaa7eea0a</errorID>
      <errorWord>）</errorWord>
      <group>L1_Format</group>
      <groupName>格式问题</groupName>
      <ability>L2_HalfPunc</ability>
      <abilityName>全半角检查</abilityName>
      <candidateList>
        <item>)</item>
      </candidateList>
      <explain>文本全半角错误。</explain>
      <paraID>65F9EB43</paraID>
      <start>9</start>
      <end>10</end>
      <status>ignored</status>
      <modifiedWord/>
      <trackRevisions>false</trackRevisions>
    </reviewItem>
    <reviewItem>
      <errorID>bb64548c-0df0-4e0c-9c60-6eae0c65ed2f</errorID>
      <errorWord>（</errorWord>
      <group>L1_Format</group>
      <groupName>格式问题</groupName>
      <ability>L2_HalfPunc</ability>
      <abilityName>全半角检查</abilityName>
      <candidateList>
        <item>(</item>
      </candidateList>
      <explain>文本全半角错误。</explain>
      <paraID>4C93ED69</paraID>
      <start>2</start>
      <end>3</end>
      <status>ignored</status>
      <modifiedWord/>
      <trackRevisions>false</trackRevisions>
    </reviewItem>
    <reviewItem>
      <errorID>ba3a6f1f-6beb-4092-af11-5a25e2573741</errorID>
      <errorWord>）</errorWord>
      <group>L1_Format</group>
      <groupName>格式问题</groupName>
      <ability>L2_HalfPunc</ability>
      <abilityName>全半角检查</abilityName>
      <candidateList>
        <item>)</item>
      </candidateList>
      <explain>文本全半角错误。</explain>
      <paraID>4C93ED69</paraID>
      <start>8</start>
      <end>9</end>
      <status>ignored</status>
      <modifiedWord/>
      <trackRevisions>false</trackRevisions>
    </reviewItem>
    <reviewItem>
      <errorID>c1343e23-f928-4b18-bea7-e51d0357c4df</errorID>
      <errorWord>（</errorWord>
      <group>L1_Format</group>
      <groupName>格式问题</groupName>
      <ability>L2_HalfPunc</ability>
      <abilityName>全半角检查</abilityName>
      <candidateList>
        <item>(</item>
      </candidateList>
      <explain>文本全半角错误。</explain>
      <paraID>26C09785</paraID>
      <start>2</start>
      <end>3</end>
      <status>ignored</status>
      <modifiedWord/>
      <trackRevisions>false</trackRevisions>
    </reviewItem>
    <reviewItem>
      <errorID>73a0831a-7739-4233-b270-36c417e29220</errorID>
      <errorWord>）</errorWord>
      <group>L1_Format</group>
      <groupName>格式问题</groupName>
      <ability>L2_HalfPunc</ability>
      <abilityName>全半角检查</abilityName>
      <candidateList>
        <item>)</item>
      </candidateList>
      <explain>文本全半角错误。</explain>
      <paraID>26C09785</paraID>
      <start>8</start>
      <end>9</end>
      <status>ignored</status>
      <modifiedWord/>
      <trackRevisions>false</trackRevisions>
    </reviewItem>
    <reviewItem>
      <errorID>5175a85f-a95c-4ac7-8b72-711fb4de6221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6FB7D1EA</paraID>
      <start>30</start>
      <end>31</end>
      <status>modified</status>
      <modifiedWord>—</modifiedWord>
      <trackRevisions>false</trackRevisions>
    </reviewItem>
    <reviewItem>
      <errorID>1b6b680e-0f69-4168-9761-e7bfa95b141c</errorID>
      <errorWord>(</errorWord>
      <group>L1_Format</group>
      <groupName>格式问题</groupName>
      <ability>L2_HalfPunc</ability>
      <abilityName>全半角检查</abilityName>
      <candidateList>
        <item>（</item>
      </candidateList>
      <explain>文本全半角错误。</explain>
      <paraID>2796EC54</paraID>
      <start>64</start>
      <end>65</end>
      <status>ignored</status>
      <modifiedWord/>
      <trackRevisions>false</trackRevisions>
    </reviewItem>
    <reviewItem>
      <errorID>01bf1c8e-3f71-4145-bd2c-848b5e3d1179</errorID>
      <errorWord>)</errorWord>
      <group>L1_Format</group>
      <groupName>格式问题</groupName>
      <ability>L2_HalfPunc</ability>
      <abilityName>全半角检查</abilityName>
      <candidateList>
        <item>）</item>
      </candidateList>
      <explain>文本全半角错误。</explain>
      <paraID>2796EC54</paraID>
      <start>68</start>
      <end>69</end>
      <status>ignored</status>
      <modifiedWord/>
      <trackRevisions>false</trackRevisions>
    </reviewItem>
    <reviewItem>
      <errorID>f5e88ca0-8b77-4613-874e-e61e6e67a9f9</errorID>
      <errorWord>(</errorWord>
      <group>L1_Format</group>
      <groupName>格式问题</groupName>
      <ability>L2_HalfPunc</ability>
      <abilityName>全半角检查</abilityName>
      <candidateList>
        <item>（</item>
      </candidateList>
      <explain>文本全半角错误。</explain>
      <paraID>2796EC54</paraID>
      <start>82</start>
      <end>83</end>
      <status>ignored</status>
      <modifiedWord/>
      <trackRevisions>false</trackRevisions>
    </reviewItem>
    <reviewItem>
      <errorID>ec679db0-2384-4cc6-870c-7e67cc01b3d5</errorID>
      <errorWord>)</errorWord>
      <group>L1_Format</group>
      <groupName>格式问题</groupName>
      <ability>L2_HalfPunc</ability>
      <abilityName>全半角检查</abilityName>
      <candidateList>
        <item>）</item>
      </candidateList>
      <explain>文本全半角错误。</explain>
      <paraID>2796EC54</paraID>
      <start>86</start>
      <end>87</end>
      <status>ignored</status>
      <modifiedWord/>
      <trackRevisions>false</trackRevisions>
    </reviewItem>
    <reviewItem>
      <errorID>76b070b5-1a5a-42cc-af88-9a27e317ffa0</errorID>
      <errorWord>(</errorWord>
      <group>L1_Format</group>
      <groupName>格式问题</groupName>
      <ability>L2_HalfPunc</ability>
      <abilityName>全半角检查</abilityName>
      <candidateList>
        <item>（</item>
      </candidateList>
      <explain>文本全半角错误。</explain>
      <paraID>2796EC54</paraID>
      <start>102</start>
      <end>103</end>
      <status>ignored</status>
      <modifiedWord/>
      <trackRevisions>false</trackRevisions>
    </reviewItem>
    <reviewItem>
      <errorID>46070646-f1de-47e9-8515-f5f499f6a7df</errorID>
      <errorWord>)</errorWord>
      <group>L1_Format</group>
      <groupName>格式问题</groupName>
      <ability>L2_HalfPunc</ability>
      <abilityName>全半角检查</abilityName>
      <candidateList>
        <item>）</item>
      </candidateList>
      <explain>文本全半角错误。</explain>
      <paraID>2796EC54</paraID>
      <start>106</start>
      <end>107</end>
      <status>ignored</status>
      <modifiedWord/>
      <trackRevisions>false</trackRevisions>
    </reviewItem>
    <reviewItem>
      <errorID>66314f15-af7d-48f4-8b79-fef0a10d6e3b</errorID>
      <errorWord>(</errorWord>
      <group>L1_Format</group>
      <groupName>格式问题</groupName>
      <ability>L2_HalfPunc</ability>
      <abilityName>全半角检查</abilityName>
      <candidateList>
        <item>（</item>
      </candidateList>
      <explain>文本全半角错误。</explain>
      <paraID>2796EC54</paraID>
      <start>118</start>
      <end>119</end>
      <status>ignored</status>
      <modifiedWord/>
      <trackRevisions>false</trackRevisions>
    </reviewItem>
    <reviewItem>
      <errorID>afbeda48-8ebe-4767-a4e0-28d4ae1a80de</errorID>
      <errorWord>)</errorWord>
      <group>L1_Format</group>
      <groupName>格式问题</groupName>
      <ability>L2_HalfPunc</ability>
      <abilityName>全半角检查</abilityName>
      <candidateList>
        <item>）</item>
      </candidateList>
      <explain>文本全半角错误。</explain>
      <paraID>2796EC54</paraID>
      <start>122</start>
      <end>123</end>
      <status>ignored</status>
      <modifiedWord/>
      <trackRevisions>false</trackRevisions>
    </reviewItem>
    <reviewItem>
      <errorID>d931e943-2567-4f97-a385-e8f7e931e2a4</errorID>
      <errorWord>与其</errorWord>
      <group>L1_Word</group>
      <groupName>字词问题</groupName>
      <ability>L2_Typo</ability>
      <abilityName>字词错误</abilityName>
      <candidateList>
        <item>与</item>
      </candidateList>
      <explain>（舆）yù参与：～会。</explain>
      <paraID>2CD8E228</paraID>
      <start>58</start>
      <end>60</end>
      <status>ignored</status>
      <modifiedWord/>
      <trackRevisions>false</trackRevisions>
    </reviewItem>
    <reviewItem>
      <errorID>1aab3488-384a-4bb0-9c89-14da242cb455</errorID>
      <errorWord>显著性</errorWord>
      <group>L1_Word</group>
      <groupName>字词问题</groupName>
      <ability>L2_Typo</ability>
      <abilityName>字词错误</abilityName>
      <candidateList>
        <item>显著</item>
      </candidateList>
      <explain/>
      <paraID>2CD8E228</paraID>
      <start>181</start>
      <end>184</end>
      <status>ignored</status>
      <modifiedWord/>
      <trackRevisions>false</trackRevisions>
    </reviewItem>
    <reviewItem>
      <errorID>1a354a0c-1551-41a1-aeaa-73e86aae0959</errorID>
      <errorWord>等</errorWord>
      <group>L1_Word</group>
      <groupName>字词问题</groupName>
      <ability>L2_Typo</ability>
      <abilityName>字词错误</abilityName>
      <candidateList>
        <item>等一</item>
      </candidateList>
      <explain/>
      <paraID> FB5CC48</paraID>
      <start>49</start>
      <end>50</end>
      <status>ignored</status>
      <modifiedWord/>
      <trackRevisions>false</trackRevisions>
    </reviewItem>
    <reviewItem>
      <errorID>7809939c-a248-4e46-b343-927cf4a6924c</errorID>
      <errorWord>:</errorWord>
      <group>L1_Format</group>
      <groupName>格式问题</groupName>
      <ability>L2_HalfPunc</ability>
      <abilityName>全半角检查</abilityName>
      <candidateList>
        <item>：</item>
      </candidateList>
      <explain>文本全半角错误。</explain>
      <paraID>51F74F84</paraID>
      <start>7</start>
      <end>8</end>
      <status>modified</status>
      <modifiedWord>：</modifiedWord>
      <trackRevisions>false</trackRevisions>
    </reviewItem>
    <reviewItem>
      <errorID>1a2afc0e-5231-41e4-b2f1-7dec90963b81</errorID>
      <errorWord>)</errorWord>
      <group>L1_Format</group>
      <groupName>格式问题</groupName>
      <ability>L2_HalfPunc</ability>
      <abilityName>全半角检查</abilityName>
      <candidateList>
        <item>）</item>
      </candidateList>
      <explain>文本全半角错误。</explain>
      <paraID>51F74F84</paraID>
      <start>22</start>
      <end>23</end>
      <status>ignored</status>
      <modifiedWord/>
      <trackRevisions>false</trackRevisions>
    </reviewItem>
    <reviewItem>
      <errorID>13502a4d-0a81-412e-afa6-4f494f845f40</errorID>
      <errorWord>(</errorWord>
      <group>L1_Format</group>
      <groupName>格式问题</groupName>
      <ability>L2_HalfPunc</ability>
      <abilityName>全半角检查</abilityName>
      <candidateList>
        <item>（</item>
      </candidateList>
      <explain>文本全半角错误。</explain>
      <paraID>12F2B39E</paraID>
      <start>5</start>
      <end>6</end>
      <status>ignored</status>
      <modifiedWord/>
      <trackRevisions>false</trackRevisions>
    </reviewItem>
    <reviewItem>
      <errorID>360f29b7-a5af-43b7-acc2-4a742617c87e</errorID>
      <errorWord>)</errorWord>
      <group>L1_Format</group>
      <groupName>格式问题</groupName>
      <ability>L2_HalfPunc</ability>
      <abilityName>全半角检查</abilityName>
      <candidateList>
        <item>）</item>
      </candidateList>
      <explain>文本全半角错误。</explain>
      <paraID>12F2B39E</paraID>
      <start>11</start>
      <end>12</end>
      <status>ignored</status>
      <modifiedWord/>
      <trackRevisions>false</trackRevisions>
    </reviewItem>
    <reviewItem>
      <errorID>e95df441-7db1-4bfa-8ee6-ce0135ac9b8a</errorID>
      <errorWord>伸长</errorWord>
      <group>L1_Word</group>
      <groupName>字词问题</groupName>
      <ability>L2_Typo</ability>
      <abilityName>字词错误</abilityName>
      <candidateList>
        <item>生长</item>
      </candidateList>
      <explain/>
      <paraID>48E2EAC0</paraID>
      <start>151</start>
      <end>153</end>
      <status>ignored</status>
      <modifiedWord/>
      <trackRevisions>false</trackRevisions>
    </reviewItem>
    <reviewItem>
      <errorID>43fe48d0-03d4-4acc-93a7-cec98366473f</errorID>
      <errorWord>(</errorWord>
      <group>L1_Format</group>
      <groupName>格式问题</groupName>
      <ability>L2_HalfPunc</ability>
      <abilityName>全半角检查</abilityName>
      <candidateList>
        <item>（</item>
      </candidateList>
      <explain>文本全半角错误。</explain>
      <paraID>641F1495</paraID>
      <start>4</start>
      <end>5</end>
      <status>ignored</status>
      <modifiedWord/>
      <trackRevisions>false</trackRevisions>
    </reviewItem>
    <reviewItem>
      <errorID>da145027-a7fb-44aa-a057-9e2e73fee981</errorID>
      <errorWord>)</errorWord>
      <group>L1_Format</group>
      <groupName>格式问题</groupName>
      <ability>L2_HalfPunc</ability>
      <abilityName>全半角检查</abilityName>
      <candidateList>
        <item>）</item>
      </candidateList>
      <explain>文本全半角错误。</explain>
      <paraID>641F1495</paraID>
      <start>6</start>
      <end>7</end>
      <status>ignored</status>
      <modifiedWord/>
      <trackRevisions>false</trackRevisions>
    </reviewItem>
    <reviewItem>
      <errorID>6f6e3502-e134-4b1d-a2c1-bf6869b6213f</errorID>
      <errorWord>(</errorWord>
      <group>L1_Format</group>
      <groupName>格式问题</groupName>
      <ability>L2_HalfPunc</ability>
      <abilityName>全半角检查</abilityName>
      <candidateList>
        <item>（</item>
      </candidateList>
      <explain>文本全半角错误。</explain>
      <paraID>40DB9448</paraID>
      <start>21</start>
      <end>22</end>
      <status>ignored</status>
      <modifiedWord/>
      <trackRevisions>false</trackRevisions>
    </reviewItem>
    <reviewItem>
      <errorID>60e09885-53e8-4e7d-a72b-47dbbbf75059</errorID>
      <errorWord>)</errorWord>
      <group>L1_Format</group>
      <groupName>格式问题</groupName>
      <ability>L2_HalfPunc</ability>
      <abilityName>全半角检查</abilityName>
      <candidateList>
        <item>）</item>
      </candidateList>
      <explain>文本全半角错误。</explain>
      <paraID>40DB9448</paraID>
      <start>24</start>
      <end>25</end>
      <status>ignored</status>
      <modifiedWord/>
      <trackRevisions>false</trackRevisions>
    </reviewItem>
    <reviewItem>
      <errorID>bce1b6fc-1fae-462a-a1d1-5311acfc833e</errorID>
      <errorWord>)</errorWord>
      <group>L1_Format</group>
      <groupName>格式问题</groupName>
      <ability>L2_HalfPunc</ability>
      <abilityName>全半角检查</abilityName>
      <candidateList>
        <item>）</item>
      </candidateList>
      <explain>文本全半角错误。</explain>
      <paraID>40DB9448</paraID>
      <start>75</start>
      <end>76</end>
      <status>ignored</status>
      <modifiedWord/>
      <trackRevisions>false</trackRevisions>
    </reviewItem>
    <reviewItem>
      <errorID>c06336a3-9245-4b2a-b0b6-bba334806a2b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2CCCA89</paraID>
      <start>149</start>
      <end>150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4ea2dd-1506-4446-bc4a-c1cdd5548b48}">
  <ds:schemaRefs/>
</ds:datastoreItem>
</file>

<file path=docProps/app.xml><?xml version="1.0" encoding="utf-8"?>
<Properties xmlns="http://schemas.openxmlformats.org/officeDocument/2006/extended-properties" xmlns:vt="http://schemas.openxmlformats.org/officeDocument/2006/docPropsVTypes">
  <Template>Normal.dotm</Template>
  <Pages>39</Pages>
  <Words>6770</Words>
  <Characters>8000</Characters>
  <Lines>0</Lines>
  <Paragraphs>0</Paragraphs>
  <TotalTime>3</TotalTime>
  <ScaleCrop>false</ScaleCrop>
  <LinksUpToDate>false</LinksUpToDate>
  <CharactersWithSpaces>8184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2025-10-21T12:30:00Z</dcterms:created>
  <dc:creator>Administrator</dc:creator>
  <cp:lastModifiedBy>皮孩</cp:lastModifiedBy>
  <dcterms:modified xsi:type="dcterms:W3CDTF">2025-12-11T06:13:11Z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B713B2EF33E449F89F0BBF1F874D8913_11</vt:lpwstr>
  </property>
  <property fmtid="{D5CDD505-2E9C-101B-9397-08002B2CF9AE}" pid="4" name="KSOTemplateDocerSaveRecord">
    <vt:lpwstr>eyJoZGlkIjoiYzllODVhMDQ1MTg0Y2E0YjUwYjgxM2E0MmZhMmM0NTYiLCJ1c2VySWQiOiI0NjEzOTg3MjUifQ==</vt:lpwstr>
  </property>
</Properties>
</file>