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4CF9C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14:paraId="0C1F0A4B">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CS</w:t>
            </w:r>
            <w:r>
              <w:rPr>
                <w:rFonts w:ascii="黑体" w:hAnsi="黑体" w:eastAsia="黑体"/>
                <w:sz w:val="21"/>
                <w:szCs w:val="21"/>
              </w:rPr>
              <w:t xml:space="preserve">  </w:t>
            </w:r>
          </w:p>
        </w:tc>
        <w:tc>
          <w:tcPr>
            <w:tcW w:w="8855" w:type="dxa"/>
          </w:tcPr>
          <w:p w14:paraId="5D8C891E">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65</w:t>
            </w:r>
            <w:r>
              <w:rPr>
                <w:rFonts w:hint="eastAsia" w:ascii="黑体" w:hAnsi="黑体" w:eastAsia="黑体"/>
                <w:sz w:val="21"/>
                <w:szCs w:val="21"/>
              </w:rPr>
              <w:t>.</w:t>
            </w:r>
            <w:r>
              <w:rPr>
                <w:rFonts w:ascii="黑体" w:hAnsi="黑体" w:eastAsia="黑体"/>
                <w:sz w:val="21"/>
                <w:szCs w:val="21"/>
              </w:rPr>
              <w:t>020</w:t>
            </w:r>
            <w:r>
              <w:rPr>
                <w:rFonts w:hint="eastAsia" w:ascii="黑体" w:hAnsi="黑体" w:eastAsia="黑体"/>
                <w:sz w:val="21"/>
                <w:szCs w:val="21"/>
              </w:rPr>
              <w:t>.</w:t>
            </w:r>
            <w:r>
              <w:rPr>
                <w:rFonts w:ascii="黑体" w:hAnsi="黑体" w:eastAsia="黑体"/>
                <w:sz w:val="21"/>
                <w:szCs w:val="21"/>
              </w:rPr>
              <w:t>20</w:t>
            </w:r>
            <w:r>
              <w:rPr>
                <w:rFonts w:ascii="黑体" w:hAnsi="黑体" w:eastAsia="黑体"/>
                <w:sz w:val="21"/>
                <w:szCs w:val="21"/>
              </w:rPr>
              <w:fldChar w:fldCharType="end"/>
            </w:r>
            <w:bookmarkEnd w:id="0"/>
          </w:p>
        </w:tc>
      </w:tr>
      <w:tr w14:paraId="114BC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7A555AF2">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27"/>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3CC56FE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vAlign w:val="center"/>
                </w:tcPr>
                <w:p w14:paraId="480574C3">
                  <w:pPr>
                    <w:pStyle w:val="49"/>
                    <w:framePr w:wrap="notBeside" w:vAnchor="page" w:hAnchor="page" w:x="1372" w:y="568"/>
                    <w:ind w:left="420" w:right="624"/>
                    <w:rPr>
                      <w:rFonts w:ascii="宋体" w:hAnsi="宋体"/>
                      <w:sz w:val="28"/>
                      <w:szCs w:val="28"/>
                    </w:rPr>
                  </w:pPr>
                  <w: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rPr>
                      <w:rFonts w:hint="eastAsia"/>
                    </w:rPr>
                    <w:t>QHNX</w:t>
                  </w:r>
                  <w:r>
                    <w:fldChar w:fldCharType="end"/>
                  </w:r>
                  <w:bookmarkEnd w:id="1"/>
                </w:p>
              </w:tc>
            </w:tr>
          </w:tbl>
          <w:p w14:paraId="3D37F250">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2"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B</w:t>
            </w:r>
            <w:r>
              <w:rPr>
                <w:rFonts w:ascii="黑体" w:hAnsi="黑体" w:eastAsia="黑体"/>
                <w:sz w:val="21"/>
                <w:szCs w:val="21"/>
              </w:rPr>
              <w:t>05</w:t>
            </w:r>
            <w:r>
              <w:rPr>
                <w:rFonts w:ascii="黑体" w:hAnsi="黑体" w:eastAsia="黑体"/>
                <w:sz w:val="21"/>
                <w:szCs w:val="21"/>
              </w:rPr>
              <w:fldChar w:fldCharType="end"/>
            </w:r>
            <w:bookmarkEnd w:id="2"/>
          </w:p>
        </w:tc>
      </w:tr>
    </w:tbl>
    <w:p w14:paraId="021B9B32">
      <w:pPr>
        <w:pStyle w:val="50"/>
        <w:framePr w:w="9639" w:h="624" w:hRule="exact" w:hSpace="181" w:vSpace="181" w:wrap="around" w:hAnchor="page" w:x="1305" w:y="2269"/>
        <w:rPr>
          <w:rFonts w:ascii="黑体" w:hAnsi="黑体" w:eastAsia="黑体"/>
          <w:b w:val="0"/>
          <w:bCs w:val="0"/>
          <w:w w:val="100"/>
          <w:sz w:val="48"/>
          <w:szCs w:val="48"/>
        </w:rPr>
      </w:pPr>
      <w:bookmarkStart w:id="3" w:name="_Hlk26473981"/>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青海省农学会</w:t>
      </w:r>
      <w:r>
        <w:rPr>
          <w:rFonts w:ascii="黑体" w:eastAsia="黑体"/>
          <w:b w:val="0"/>
          <w:w w:val="100"/>
          <w:sz w:val="48"/>
        </w:rPr>
        <w:fldChar w:fldCharType="end"/>
      </w:r>
      <w:bookmarkEnd w:id="4"/>
      <w:r>
        <w:rPr>
          <w:rFonts w:hint="eastAsia" w:ascii="黑体" w:eastAsia="黑体"/>
          <w:b w:val="0"/>
          <w:w w:val="100"/>
          <w:sz w:val="48"/>
        </w:rPr>
        <w:t>团体</w:t>
      </w:r>
      <w:r>
        <w:rPr>
          <w:rFonts w:hint="eastAsia" w:ascii="黑体" w:hAnsi="黑体" w:eastAsia="黑体"/>
          <w:b w:val="0"/>
          <w:bCs w:val="0"/>
          <w:w w:val="100"/>
          <w:sz w:val="48"/>
          <w:szCs w:val="48"/>
        </w:rPr>
        <w:t>标准</w:t>
      </w:r>
    </w:p>
    <w:bookmarkEnd w:id="3"/>
    <w:p w14:paraId="34A664BB">
      <w:pPr>
        <w:pStyle w:val="195"/>
        <w:framePr/>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rPr>
          <w:rFonts w:hint="eastAsia"/>
        </w:rPr>
        <w:t>QHNX</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t>2025</w:t>
      </w:r>
      <w:r>
        <w:fldChar w:fldCharType="end"/>
      </w:r>
      <w:bookmarkEnd w:id="7"/>
    </w:p>
    <w:p w14:paraId="36E0C925">
      <w:pPr>
        <w:pStyle w:val="196"/>
        <w:framePr/>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1E2CAA57">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20196A01">
      <w:pPr>
        <w:pStyle w:val="50"/>
        <w:framePr w:w="9639" w:h="6976" w:hRule="exact" w:hSpace="0" w:vSpace="0" w:wrap="around" w:hAnchor="page" w:y="6408"/>
        <w:jc w:val="center"/>
        <w:rPr>
          <w:rFonts w:ascii="黑体" w:hAnsi="黑体" w:eastAsia="黑体"/>
          <w:b w:val="0"/>
          <w:bCs w:val="0"/>
          <w:w w:val="100"/>
        </w:rPr>
      </w:pPr>
    </w:p>
    <w:p w14:paraId="53917F33">
      <w:pPr>
        <w:pStyle w:val="197"/>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甘蓝型春油菜小孢子培养及加倍技术规范</w:t>
      </w:r>
      <w:r>
        <w:fldChar w:fldCharType="end"/>
      </w:r>
      <w:bookmarkEnd w:id="9"/>
    </w:p>
    <w:p w14:paraId="34AA3A27">
      <w:pPr>
        <w:framePr w:w="9639" w:h="6974" w:hRule="exact" w:wrap="around" w:vAnchor="page" w:hAnchor="page" w:x="1419" w:y="6408" w:anchorLock="1"/>
        <w:ind w:left="-1418"/>
      </w:pPr>
    </w:p>
    <w:p w14:paraId="013C3384">
      <w:pPr>
        <w:pStyle w:val="125"/>
        <w:framePr w:w="9639" w:h="6974" w:hRule="exact" w:wrap="around" w:vAnchor="page" w:hAnchor="page" w:x="1419" w:y="6408" w:anchorLock="1"/>
        <w:textAlignment w:val="bottom"/>
        <w:rPr>
          <w:rFonts w:eastAsia="黑体"/>
          <w:szCs w:val="28"/>
        </w:rPr>
      </w:pPr>
    </w:p>
    <w:p w14:paraId="5FA1C8D3">
      <w:pPr>
        <w:framePr w:w="9639" w:h="6974" w:hRule="exact" w:wrap="around" w:vAnchor="page" w:hAnchor="page" w:x="1419" w:y="6408" w:anchorLock="1"/>
        <w:spacing w:line="760" w:lineRule="exact"/>
        <w:ind w:left="-1418"/>
      </w:pPr>
    </w:p>
    <w:p w14:paraId="5DFA7F35">
      <w:pPr>
        <w:pStyle w:val="125"/>
        <w:framePr w:w="9639" w:h="6974" w:hRule="exact" w:wrap="around" w:vAnchor="page" w:hAnchor="page" w:x="1419" w:y="6408" w:anchorLock="1"/>
        <w:textAlignment w:val="bottom"/>
        <w:rPr>
          <w:rFonts w:eastAsia="黑体"/>
          <w:szCs w:val="28"/>
        </w:rPr>
      </w:pPr>
    </w:p>
    <w:p w14:paraId="45A635A1">
      <w:pPr>
        <w:pStyle w:val="125"/>
        <w:framePr w:w="9639" w:h="6974" w:hRule="exact" w:wrap="around" w:vAnchor="page" w:hAnchor="page" w:x="1419" w:y="6408" w:anchorLock="1"/>
        <w:spacing w:before="440" w:after="160"/>
        <w:textAlignment w:val="bottom"/>
        <w:rPr>
          <w:rFonts w:hint="eastAsia" w:eastAsia="宋体"/>
          <w:sz w:val="24"/>
          <w:szCs w:val="28"/>
          <w:lang w:eastAsia="zh-CN"/>
        </w:rPr>
      </w:pPr>
      <w:r>
        <w:rPr>
          <w:rFonts w:hint="eastAsia"/>
          <w:sz w:val="24"/>
          <w:szCs w:val="28"/>
          <w:lang w:eastAsia="zh-CN"/>
        </w:rPr>
        <w:t>报批稿</w:t>
      </w:r>
    </w:p>
    <w:p w14:paraId="73B5FAEF">
      <w:pPr>
        <w:pStyle w:val="125"/>
        <w:framePr w:w="9639" w:h="6974" w:hRule="exact" w:wrap="around" w:vAnchor="page" w:hAnchor="page" w:x="1419" w:y="6408" w:anchorLock="1"/>
        <w:spacing w:before="180" w:line="240" w:lineRule="atLeast"/>
        <w:textAlignment w:val="bottom"/>
        <w:rPr>
          <w:sz w:val="21"/>
          <w:szCs w:val="28"/>
        </w:rPr>
      </w:pPr>
    </w:p>
    <w:p w14:paraId="5F9AA277">
      <w:pPr>
        <w:pStyle w:val="125"/>
        <w:framePr w:w="9639" w:h="6974" w:hRule="exact" w:wrap="around" w:vAnchor="page" w:hAnchor="page" w:x="1419" w:y="6408" w:anchorLock="1"/>
        <w:spacing w:before="720" w:beforeLines="300" w:after="72" w:afterLines="30" w:line="240" w:lineRule="auto"/>
        <w:textAlignment w:val="bottom"/>
        <w:rPr>
          <w:b/>
          <w:sz w:val="21"/>
          <w:szCs w:val="28"/>
        </w:rPr>
      </w:pPr>
      <w:bookmarkStart w:id="42" w:name="_GoBack"/>
      <w:bookmarkEnd w:id="42"/>
    </w:p>
    <w:p w14:paraId="239FA332">
      <w:pPr>
        <w:pStyle w:val="193"/>
        <w:framePr w:wrap="around" w:y="14176"/>
      </w:pPr>
      <w:r>
        <w:rPr>
          <w:rFonts w:ascii="黑体"/>
        </w:rPr>
        <w:fldChar w:fldCharType="begin">
          <w:ffData>
            <w:name w:val="PLSH_DATE_Y"/>
            <w:enabled/>
            <w:calcOnExit w:val="0"/>
            <w:textInput>
              <w:default w:val="XXXX"/>
              <w:maxLength w:val="4"/>
            </w:textInput>
          </w:ffData>
        </w:fldChar>
      </w:r>
      <w:bookmarkStart w:id="10" w:name="PLSH_DATE_Y"/>
      <w:r>
        <w:rPr>
          <w:rFonts w:ascii="黑体"/>
        </w:rPr>
        <w:instrText xml:space="preserve"> FORMTEXT </w:instrText>
      </w:r>
      <w:r>
        <w:rPr>
          <w:rFonts w:ascii="黑体"/>
        </w:rPr>
        <w:fldChar w:fldCharType="separate"/>
      </w:r>
      <w:r>
        <w:rPr>
          <w:rFonts w:ascii="黑体"/>
        </w:rPr>
        <w:t>2025</w:t>
      </w:r>
      <w:r>
        <w:rPr>
          <w:rFonts w:ascii="黑体"/>
        </w:rPr>
        <w:fldChar w:fldCharType="end"/>
      </w:r>
      <w:bookmarkEnd w:id="10"/>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1"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1"/>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2" w:name="PLSH_DATE_D"/>
      <w:r>
        <w:rPr>
          <w:rFonts w:ascii="黑体"/>
        </w:rPr>
        <w:instrText xml:space="preserve"> FORMTEXT </w:instrText>
      </w:r>
      <w:r>
        <w:rPr>
          <w:rFonts w:ascii="黑体"/>
        </w:rPr>
        <w:fldChar w:fldCharType="separate"/>
      </w:r>
      <w:r>
        <w:rPr>
          <w:rFonts w:hint="eastAsia" w:ascii="黑体"/>
        </w:rPr>
        <w:t>XX</w:t>
      </w:r>
      <w:r>
        <w:rPr>
          <w:rFonts w:ascii="黑体"/>
        </w:rPr>
        <w:fldChar w:fldCharType="end"/>
      </w:r>
      <w:bookmarkEnd w:id="12"/>
      <w:r>
        <w:rPr>
          <w:rFonts w:hint="eastAsia"/>
        </w:rPr>
        <w:t>发布</w:t>
      </w:r>
    </w:p>
    <w:p w14:paraId="1A34279A">
      <w:pPr>
        <w:pStyle w:val="194"/>
        <w:framePr w:wrap="around" w:y="14176"/>
      </w:pPr>
      <w:r>
        <w:rPr>
          <w:rFonts w:ascii="黑体"/>
        </w:rPr>
        <w:fldChar w:fldCharType="begin">
          <w:ffData>
            <w:name w:val="CROT_DATE_Y"/>
            <w:enabled/>
            <w:calcOnExit w:val="0"/>
            <w:textInput>
              <w:default w:val="XXXX"/>
              <w:maxLength w:val="4"/>
            </w:textInput>
          </w:ffData>
        </w:fldChar>
      </w:r>
      <w:bookmarkStart w:id="13" w:name="CROT_DATE_Y"/>
      <w:r>
        <w:rPr>
          <w:rFonts w:ascii="黑体"/>
        </w:rPr>
        <w:instrText xml:space="preserve"> FORMTEXT </w:instrText>
      </w:r>
      <w:r>
        <w:rPr>
          <w:rFonts w:ascii="黑体"/>
        </w:rPr>
        <w:fldChar w:fldCharType="separate"/>
      </w:r>
      <w:r>
        <w:rPr>
          <w:rFonts w:ascii="黑体"/>
        </w:rPr>
        <w:t>2025</w:t>
      </w:r>
      <w:r>
        <w:rPr>
          <w:rFonts w:ascii="黑体"/>
        </w:rPr>
        <w:fldChar w:fldCharType="end"/>
      </w:r>
      <w:bookmarkEnd w:id="13"/>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4" w:name="CROT_DATE_M"/>
      <w:r>
        <w:rPr>
          <w:rFonts w:ascii="黑体"/>
        </w:rPr>
        <w:instrText xml:space="preserve"> FORMTEXT </w:instrText>
      </w:r>
      <w:r>
        <w:rPr>
          <w:rFonts w:ascii="黑体"/>
        </w:rPr>
        <w:fldChar w:fldCharType="separate"/>
      </w:r>
      <w:r>
        <w:rPr>
          <w:rFonts w:hint="eastAsia" w:ascii="黑体"/>
        </w:rPr>
        <w:t>XX</w:t>
      </w:r>
      <w:r>
        <w:rPr>
          <w:rFonts w:ascii="黑体"/>
        </w:rPr>
        <w:fldChar w:fldCharType="end"/>
      </w:r>
      <w:bookmarkEnd w:id="14"/>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5" w:name="CROT_DATE_D"/>
      <w:r>
        <w:rPr>
          <w:rFonts w:ascii="黑体"/>
        </w:rPr>
        <w:instrText xml:space="preserve"> FORMTEXT </w:instrText>
      </w:r>
      <w:r>
        <w:rPr>
          <w:rFonts w:ascii="黑体"/>
        </w:rPr>
        <w:fldChar w:fldCharType="separate"/>
      </w:r>
      <w:r>
        <w:rPr>
          <w:rFonts w:hint="eastAsia" w:ascii="黑体"/>
        </w:rPr>
        <w:t>XX</w:t>
      </w:r>
      <w:r>
        <w:rPr>
          <w:rFonts w:ascii="黑体"/>
        </w:rPr>
        <w:fldChar w:fldCharType="end"/>
      </w:r>
      <w:bookmarkEnd w:id="15"/>
      <w:r>
        <w:rPr>
          <w:rFonts w:hint="eastAsia"/>
        </w:rPr>
        <w:t>实施</w:t>
      </w:r>
    </w:p>
    <w:p w14:paraId="26B66F0B">
      <w:pPr>
        <w:pStyle w:val="151"/>
        <w:framePr w:h="584" w:hRule="exact" w:hSpace="181" w:vSpace="181" w:wrap="around" w:y="14800"/>
        <w:rPr>
          <w:rFonts w:hAnsi="黑体"/>
        </w:rPr>
      </w:pPr>
      <w:r>
        <w:rPr>
          <w:rFonts w:hAnsi="黑体"/>
          <w:w w:val="100"/>
          <w:sz w:val="28"/>
        </w:rPr>
        <w:fldChar w:fldCharType="begin">
          <w:ffData>
            <w:name w:val="fm"/>
            <w:enabled/>
            <w:calcOnExit w:val="0"/>
            <w:textInput/>
          </w:ffData>
        </w:fldChar>
      </w:r>
      <w:bookmarkStart w:id="16" w:name="fm"/>
      <w:r>
        <w:rPr>
          <w:rFonts w:hAnsi="黑体"/>
          <w:w w:val="100"/>
          <w:sz w:val="28"/>
        </w:rPr>
        <w:instrText xml:space="preserve"> FORMTEXT </w:instrText>
      </w:r>
      <w:r>
        <w:rPr>
          <w:rFonts w:hAnsi="黑体"/>
          <w:w w:val="100"/>
          <w:sz w:val="28"/>
        </w:rPr>
        <w:fldChar w:fldCharType="separate"/>
      </w:r>
      <w:r>
        <w:rPr>
          <w:rFonts w:hint="eastAsia" w:hAnsi="黑体"/>
          <w:w w:val="100"/>
          <w:sz w:val="28"/>
        </w:rPr>
        <w:t>青海省农学会</w:t>
      </w:r>
      <w:r>
        <w:rPr>
          <w:rFonts w:hAnsi="黑体"/>
          <w:w w:val="100"/>
          <w:sz w:val="28"/>
        </w:rPr>
        <w:fldChar w:fldCharType="end"/>
      </w:r>
      <w:bookmarkEnd w:id="16"/>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14EFCA99">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567" w:right="1134" w:bottom="1134"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4B1CEE3F">
      <w:pPr>
        <w:pStyle w:val="89"/>
        <w:spacing w:before="560" w:after="360"/>
      </w:pPr>
      <w:bookmarkStart w:id="17" w:name="BookMark2"/>
      <w:r>
        <w:rPr>
          <w:spacing w:val="320"/>
        </w:rPr>
        <w:t>前</w:t>
      </w:r>
      <w:r>
        <w:t>言</w:t>
      </w:r>
    </w:p>
    <w:p w14:paraId="51A57FAA">
      <w:pPr>
        <w:pStyle w:val="56"/>
        <w:ind w:firstLine="420"/>
      </w:pPr>
      <w:r>
        <w:rPr>
          <w:rFonts w:hint="eastAsia"/>
        </w:rPr>
        <w:t>本文件按照GB/T 1.1—2020《标准化工作导则  第1部分：标准化文件的结构和起草规则》的规定起草。</w:t>
      </w:r>
    </w:p>
    <w:p w14:paraId="0A5E8A9B">
      <w:pPr>
        <w:pStyle w:val="56"/>
        <w:ind w:firstLine="420"/>
      </w:pPr>
      <w:r>
        <w:rPr>
          <w:rFonts w:hint="eastAsia"/>
        </w:rPr>
        <w:t>请注意本文件的某些内容可能涉及专利。本文件的发布机构不承担识别专利的责任。</w:t>
      </w:r>
    </w:p>
    <w:p w14:paraId="6C605845">
      <w:pPr>
        <w:pStyle w:val="56"/>
        <w:ind w:firstLine="420"/>
      </w:pPr>
      <w:r>
        <w:rPr>
          <w:rFonts w:hint="eastAsia"/>
        </w:rPr>
        <w:t>本文件由青海大学农林科学院提出。</w:t>
      </w:r>
    </w:p>
    <w:p w14:paraId="16FE4640">
      <w:pPr>
        <w:pStyle w:val="56"/>
        <w:ind w:firstLine="420"/>
      </w:pPr>
      <w:r>
        <w:rPr>
          <w:rFonts w:hint="eastAsia"/>
        </w:rPr>
        <w:t>本文件由青海省农学会归口。</w:t>
      </w:r>
    </w:p>
    <w:p w14:paraId="58C28088">
      <w:pPr>
        <w:pStyle w:val="56"/>
        <w:ind w:firstLine="420"/>
      </w:pPr>
      <w:r>
        <w:rPr>
          <w:rFonts w:hint="eastAsia"/>
        </w:rPr>
        <w:t>本文件起草单位：青海大学农林科学院、青海互丰农业科技集团有限公司、青海省农业技术推广总站。</w:t>
      </w:r>
    </w:p>
    <w:p w14:paraId="77FDA7EB">
      <w:pPr>
        <w:pStyle w:val="56"/>
        <w:ind w:firstLine="420"/>
      </w:pPr>
      <w:r>
        <w:rPr>
          <w:rFonts w:hint="eastAsia"/>
        </w:rPr>
        <w:t>本文件主要起草人：星晓蓉、叶景秀、赵志、李开祥、徐亮、柳海东、贺子腾、许永丽。</w:t>
      </w:r>
    </w:p>
    <w:p w14:paraId="622DAAAA">
      <w:pPr>
        <w:pStyle w:val="56"/>
        <w:ind w:firstLine="420"/>
      </w:pPr>
    </w:p>
    <w:p w14:paraId="50781575">
      <w:pPr>
        <w:pStyle w:val="56"/>
        <w:ind w:firstLine="420"/>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linePitch="312" w:charSpace="0"/>
        </w:sectPr>
      </w:pPr>
    </w:p>
    <w:bookmarkEnd w:id="17"/>
    <w:p w14:paraId="572F6283">
      <w:pPr>
        <w:spacing w:line="20" w:lineRule="exact"/>
        <w:jc w:val="center"/>
        <w:rPr>
          <w:rFonts w:ascii="黑体" w:hAnsi="黑体" w:eastAsia="黑体"/>
          <w:sz w:val="32"/>
          <w:szCs w:val="32"/>
        </w:rPr>
      </w:pPr>
      <w:bookmarkStart w:id="18" w:name="BookMark4"/>
    </w:p>
    <w:p w14:paraId="037A1CA7">
      <w:pPr>
        <w:spacing w:line="20" w:lineRule="exact"/>
        <w:jc w:val="center"/>
        <w:rPr>
          <w:rFonts w:ascii="黑体" w:hAnsi="黑体" w:eastAsia="黑体"/>
          <w:sz w:val="32"/>
          <w:szCs w:val="32"/>
        </w:rPr>
      </w:pPr>
    </w:p>
    <w:sdt>
      <w:sdtPr>
        <w:tag w:val="NEW_STAND_NAME"/>
        <w:id w:val="595910757"/>
        <w:lock w:val="sdtLocked"/>
        <w:placeholder>
          <w:docPart w:val="3A49E5F36E194DF891EE759F1CD05DE9"/>
        </w:placeholder>
      </w:sdtPr>
      <w:sdtContent>
        <w:p w14:paraId="55F7DB58">
          <w:pPr>
            <w:pStyle w:val="177"/>
            <w:spacing w:before="240" w:beforeLines="100" w:after="528" w:afterLines="220"/>
          </w:pPr>
          <w:bookmarkStart w:id="19" w:name="NEW_STAND_NAME"/>
          <w:r>
            <w:rPr>
              <w:rFonts w:hint="eastAsia"/>
            </w:rPr>
            <w:t>甘蓝型春油菜小孢子培养及加倍技术规范</w:t>
          </w:r>
        </w:p>
      </w:sdtContent>
    </w:sdt>
    <w:bookmarkEnd w:id="19"/>
    <w:p w14:paraId="16E5A8FE">
      <w:pPr>
        <w:pStyle w:val="104"/>
        <w:spacing w:before="240" w:after="240"/>
      </w:pPr>
      <w:bookmarkStart w:id="20" w:name="_Toc97192964"/>
      <w:bookmarkStart w:id="21" w:name="_Toc17233325"/>
      <w:bookmarkStart w:id="22" w:name="_Toc26718930"/>
      <w:bookmarkStart w:id="23" w:name="_Toc26986771"/>
      <w:bookmarkStart w:id="24" w:name="_Toc17233333"/>
      <w:bookmarkStart w:id="25" w:name="_Toc26648465"/>
      <w:bookmarkStart w:id="26" w:name="_Toc24884218"/>
      <w:bookmarkStart w:id="27" w:name="_Toc24884211"/>
      <w:bookmarkStart w:id="28" w:name="_Toc26986530"/>
      <w:r>
        <w:rPr>
          <w:rFonts w:hint="eastAsia"/>
        </w:rPr>
        <w:t>范围</w:t>
      </w:r>
      <w:bookmarkEnd w:id="20"/>
      <w:bookmarkEnd w:id="21"/>
      <w:bookmarkEnd w:id="22"/>
      <w:bookmarkEnd w:id="23"/>
      <w:bookmarkEnd w:id="24"/>
      <w:bookmarkEnd w:id="25"/>
      <w:bookmarkEnd w:id="26"/>
      <w:bookmarkEnd w:id="27"/>
      <w:bookmarkEnd w:id="28"/>
    </w:p>
    <w:p w14:paraId="699839A3">
      <w:pPr>
        <w:pStyle w:val="56"/>
        <w:ind w:firstLine="420"/>
      </w:pPr>
      <w:bookmarkStart w:id="29" w:name="_Toc26648466"/>
      <w:bookmarkStart w:id="30" w:name="_Toc24884219"/>
      <w:bookmarkStart w:id="31" w:name="_Toc17233326"/>
      <w:bookmarkStart w:id="32" w:name="_Toc17233334"/>
      <w:bookmarkStart w:id="33" w:name="_Toc24884212"/>
      <w:r>
        <w:rPr>
          <w:rFonts w:hint="eastAsia"/>
        </w:rPr>
        <w:t>本文件规定了甘蓝型春油菜小孢子培养术语和定义，以及供体种植条件、供体种植及取样、培养基的配置及灭菌、小孢子培养方法、再生植株加倍等技术内容的操作规范及质量要求。</w:t>
      </w:r>
    </w:p>
    <w:p w14:paraId="6C503420">
      <w:pPr>
        <w:pStyle w:val="56"/>
        <w:ind w:firstLine="420"/>
      </w:pPr>
      <w:r>
        <w:rPr>
          <w:rFonts w:hint="eastAsia"/>
        </w:rPr>
        <w:t>本文件适用于甘蓝型春油菜区育种时使用。</w:t>
      </w:r>
    </w:p>
    <w:p w14:paraId="5584C1E4">
      <w:pPr>
        <w:pStyle w:val="104"/>
        <w:spacing w:before="240" w:after="240"/>
      </w:pPr>
      <w:bookmarkStart w:id="34" w:name="_Toc26718931"/>
      <w:bookmarkStart w:id="35" w:name="_Toc97192965"/>
      <w:bookmarkStart w:id="36" w:name="_Toc26986531"/>
      <w:bookmarkStart w:id="37" w:name="_Toc26986772"/>
      <w:r>
        <w:rPr>
          <w:rFonts w:hint="eastAsia"/>
        </w:rPr>
        <w:t>规范性引用文件</w:t>
      </w:r>
      <w:bookmarkEnd w:id="29"/>
      <w:bookmarkEnd w:id="30"/>
      <w:bookmarkEnd w:id="31"/>
      <w:bookmarkEnd w:id="32"/>
      <w:bookmarkEnd w:id="33"/>
      <w:bookmarkEnd w:id="34"/>
      <w:bookmarkEnd w:id="35"/>
      <w:bookmarkEnd w:id="36"/>
      <w:bookmarkEnd w:id="37"/>
    </w:p>
    <w:sdt>
      <w:sdtPr>
        <w:rPr>
          <w:rFonts w:hint="eastAsia"/>
        </w:rPr>
        <w:id w:val="715848253"/>
        <w:placeholder>
          <w:docPart w:val="6B2A1815F1C947998A80AD9E00E5B527"/>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2B73274E">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2AA8F585">
      <w:pPr>
        <w:pStyle w:val="56"/>
        <w:ind w:firstLine="420"/>
      </w:pPr>
      <w:r>
        <w:rPr>
          <w:rFonts w:hint="eastAsia"/>
        </w:rPr>
        <w:t>DB63/T 943</w:t>
      </w:r>
      <w:r>
        <w:t xml:space="preserve">   </w:t>
      </w:r>
      <w:r>
        <w:rPr>
          <w:rFonts w:hint="eastAsia"/>
        </w:rPr>
        <w:t xml:space="preserve"> 甘蓝型油菜主要病虫害防治技术规范</w:t>
      </w:r>
    </w:p>
    <w:p w14:paraId="486258BC">
      <w:pPr>
        <w:pStyle w:val="104"/>
        <w:spacing w:before="240" w:after="240"/>
      </w:pPr>
      <w:bookmarkStart w:id="38" w:name="_Toc97192966"/>
      <w:r>
        <w:rPr>
          <w:rFonts w:hint="eastAsia"/>
          <w:szCs w:val="21"/>
        </w:rPr>
        <w:t>术语和定义</w:t>
      </w:r>
      <w:bookmarkEnd w:id="38"/>
    </w:p>
    <w:sdt>
      <w:sdtPr>
        <w:id w:val="-1909835108"/>
        <w:placeholder>
          <w:docPart w:val="2A87982BC53E49A2A7E7E45634679A0F"/>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1357B324">
          <w:pPr>
            <w:pStyle w:val="56"/>
            <w:ind w:firstLine="420"/>
          </w:pPr>
          <w:bookmarkStart w:id="39" w:name="_Toc26986532"/>
          <w:bookmarkEnd w:id="39"/>
          <w:r>
            <w:t>下列术语和定义适用于本文件。</w:t>
          </w:r>
        </w:p>
      </w:sdtContent>
    </w:sdt>
    <w:p w14:paraId="3D6B2A35">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小孢子（Micrre）</w:t>
      </w:r>
    </w:p>
    <w:p w14:paraId="32BB2F33">
      <w:pPr>
        <w:pStyle w:val="56"/>
        <w:ind w:firstLine="420"/>
      </w:pPr>
      <w:r>
        <w:rPr>
          <w:rFonts w:hint="eastAsia"/>
        </w:rPr>
        <w:t>高等植物花粉形成过程中，由花粉母细胞经过减数分裂产生的单倍体细胞。</w:t>
      </w:r>
    </w:p>
    <w:p w14:paraId="6BD99EC8">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胚状体（Embryoid）</w:t>
      </w:r>
    </w:p>
    <w:p w14:paraId="5FF8F34A">
      <w:pPr>
        <w:pStyle w:val="56"/>
        <w:ind w:firstLine="420"/>
      </w:pPr>
      <w:r>
        <w:rPr>
          <w:rFonts w:hint="eastAsia"/>
        </w:rPr>
        <w:t>通过离体小孢子培养诱导形成的类胚结构。</w:t>
      </w:r>
    </w:p>
    <w:p w14:paraId="13316405">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再生植株（Regenerated plant）</w:t>
      </w:r>
    </w:p>
    <w:p w14:paraId="30C08E9B">
      <w:pPr>
        <w:pStyle w:val="56"/>
        <w:ind w:firstLine="420"/>
      </w:pPr>
      <w:r>
        <w:rPr>
          <w:rFonts w:hint="eastAsia"/>
        </w:rPr>
        <w:t>由胚状体发育而成的完整植株。</w:t>
      </w:r>
    </w:p>
    <w:p w14:paraId="42956672">
      <w:pPr>
        <w:pStyle w:val="104"/>
        <w:spacing w:before="240" w:after="240"/>
      </w:pPr>
      <w:r>
        <w:rPr>
          <w:rFonts w:hint="eastAsia"/>
        </w:rPr>
        <w:t>供体种植条件</w:t>
      </w:r>
    </w:p>
    <w:p w14:paraId="16C46991">
      <w:pPr>
        <w:pStyle w:val="56"/>
        <w:ind w:firstLine="420"/>
      </w:pPr>
      <w:r>
        <w:rPr>
          <w:rFonts w:hint="eastAsia"/>
        </w:rPr>
        <w:t>供体可种植在大田、温室、人工气候室等场所。大田具备基本的种植土壤及浇灌条件；温室具备供暖、保温、通风、浇灌设备；人工气候室具备精确的控温、控光系统。</w:t>
      </w:r>
    </w:p>
    <w:p w14:paraId="56DF74DC">
      <w:pPr>
        <w:pStyle w:val="104"/>
        <w:spacing w:before="240" w:after="240"/>
      </w:pPr>
      <w:r>
        <w:rPr>
          <w:rFonts w:hint="eastAsia"/>
        </w:rPr>
        <w:t>供体种植及取样</w:t>
      </w:r>
    </w:p>
    <w:p w14:paraId="4E908270">
      <w:pPr>
        <w:pStyle w:val="105"/>
        <w:spacing w:before="120" w:after="120"/>
      </w:pPr>
      <w:r>
        <w:rPr>
          <w:rFonts w:hint="eastAsia"/>
        </w:rPr>
        <w:t>供体种植</w:t>
      </w:r>
    </w:p>
    <w:p w14:paraId="08D062F9">
      <w:pPr>
        <w:pStyle w:val="65"/>
        <w:spacing w:before="120" w:after="120"/>
      </w:pPr>
      <w:r>
        <w:rPr>
          <w:rFonts w:hint="eastAsia"/>
        </w:rPr>
        <w:t>大田</w:t>
      </w:r>
    </w:p>
    <w:p w14:paraId="3F26E821">
      <w:pPr>
        <w:pStyle w:val="56"/>
        <w:ind w:firstLine="420"/>
      </w:pPr>
      <w:r>
        <w:rPr>
          <w:rFonts w:hint="eastAsia"/>
        </w:rPr>
        <w:t>大田供体材料从3月~5月分批播种，每批材料种植间隔15d，水肥统一管理，病虫害防治按DB63/T 943规定进行。</w:t>
      </w:r>
    </w:p>
    <w:p w14:paraId="005933FC">
      <w:pPr>
        <w:pStyle w:val="65"/>
        <w:spacing w:before="120" w:after="120"/>
      </w:pPr>
      <w:r>
        <w:rPr>
          <w:rFonts w:hint="eastAsia"/>
        </w:rPr>
        <w:t>温室</w:t>
      </w:r>
    </w:p>
    <w:p w14:paraId="1F701B52">
      <w:pPr>
        <w:pStyle w:val="56"/>
        <w:ind w:firstLine="420"/>
      </w:pPr>
      <w:r>
        <w:rPr>
          <w:rFonts w:hint="eastAsia"/>
        </w:rPr>
        <w:t>温室从9月中下旬开始种植，温度控制在15℃~25℃，12月中旬开花时，温度控制在8℃~15℃。水肥统一管理，病虫害防治按DB63/T 943规定进行。</w:t>
      </w:r>
    </w:p>
    <w:p w14:paraId="5AA132F5">
      <w:pPr>
        <w:pStyle w:val="65"/>
        <w:spacing w:before="120" w:after="120"/>
        <w:rPr>
          <w:rFonts w:ascii="Times New Roman" w:eastAsia="宋体"/>
        </w:rPr>
      </w:pPr>
      <w:r>
        <w:rPr>
          <w:rFonts w:hint="eastAsia" w:ascii="Times New Roman" w:eastAsia="宋体"/>
        </w:rPr>
        <w:t>人工气候室</w:t>
      </w:r>
    </w:p>
    <w:p w14:paraId="60C51888">
      <w:pPr>
        <w:pStyle w:val="56"/>
        <w:ind w:firstLine="420"/>
      </w:pPr>
      <w:r>
        <w:rPr>
          <w:rFonts w:hint="eastAsia"/>
        </w:rPr>
        <w:t>人工气候室全年种植，开花时，温度控制在10℃~18℃。昼/夜温度设定为18/10℃。水肥统一管理，病虫害防治按DB63/T 943规定进行。</w:t>
      </w:r>
    </w:p>
    <w:p w14:paraId="72B01DF5">
      <w:pPr>
        <w:pStyle w:val="105"/>
        <w:spacing w:before="120" w:after="120"/>
      </w:pPr>
      <w:r>
        <w:rPr>
          <w:rFonts w:hint="eastAsia"/>
        </w:rPr>
        <w:t>取样</w:t>
      </w:r>
    </w:p>
    <w:p w14:paraId="4D24E127">
      <w:pPr>
        <w:pStyle w:val="65"/>
        <w:spacing w:before="120" w:after="120"/>
      </w:pPr>
      <w:r>
        <w:rPr>
          <w:rFonts w:hint="eastAsia"/>
        </w:rPr>
        <w:t>取材时间</w:t>
      </w:r>
    </w:p>
    <w:p w14:paraId="6FAC683A">
      <w:pPr>
        <w:pStyle w:val="56"/>
        <w:ind w:firstLine="420"/>
      </w:pPr>
      <w:r>
        <w:rPr>
          <w:rFonts w:hint="eastAsia"/>
        </w:rPr>
        <w:t xml:space="preserve">供体植株初花至盛花期取样，选取健康植株的主花序或生长状态较好的分支花序，用冰盒运送至培养基地。  </w:t>
      </w:r>
    </w:p>
    <w:p w14:paraId="7A3A1102">
      <w:pPr>
        <w:pStyle w:val="65"/>
        <w:spacing w:before="120" w:after="120"/>
      </w:pPr>
      <w:r>
        <w:rPr>
          <w:rFonts w:hint="eastAsia"/>
        </w:rPr>
        <w:t>小孢子发育时期确定</w:t>
      </w:r>
    </w:p>
    <w:p w14:paraId="57149B65">
      <w:pPr>
        <w:pStyle w:val="56"/>
        <w:ind w:firstLine="420"/>
      </w:pPr>
      <w:r>
        <w:rPr>
          <w:rFonts w:hint="eastAsia"/>
        </w:rPr>
        <w:t>选取大小2.5</w:t>
      </w:r>
      <w:r>
        <w:t xml:space="preserve"> </w:t>
      </w:r>
      <w:r>
        <w:rPr>
          <w:rFonts w:hint="eastAsia"/>
        </w:rPr>
        <w:t>mm~3.2</w:t>
      </w:r>
      <w:r>
        <w:t xml:space="preserve"> </w:t>
      </w:r>
      <w:r>
        <w:rPr>
          <w:rFonts w:hint="eastAsia"/>
        </w:rPr>
        <w:t>mm的花蕾。通过镜检，选取单核晚期至双核早期的小孢子。</w:t>
      </w:r>
    </w:p>
    <w:p w14:paraId="7FB69CD2">
      <w:pPr>
        <w:pStyle w:val="65"/>
        <w:spacing w:before="120" w:after="120"/>
      </w:pPr>
      <w:r>
        <w:rPr>
          <w:rFonts w:hint="eastAsia"/>
        </w:rPr>
        <w:t>花蕾消毒</w:t>
      </w:r>
    </w:p>
    <w:p w14:paraId="41E1C57D">
      <w:pPr>
        <w:pStyle w:val="174"/>
      </w:pPr>
      <w:r>
        <w:rPr>
          <w:rFonts w:hint="eastAsia"/>
        </w:rPr>
        <w:t>用有效氯成分</w:t>
      </w:r>
      <w:r>
        <w:rPr>
          <w:rFonts w:hint="eastAsia" w:ascii="Times New Roman"/>
        </w:rPr>
        <w:t>4.5%</w:t>
      </w:r>
      <w:r>
        <w:rPr>
          <w:rFonts w:ascii="Times New Roman"/>
        </w:rPr>
        <w:t>~</w:t>
      </w:r>
      <w:r>
        <w:rPr>
          <w:rFonts w:hint="eastAsia" w:ascii="Times New Roman"/>
        </w:rPr>
        <w:t>5.5%</w:t>
      </w:r>
      <w:r>
        <w:rPr>
          <w:rFonts w:hint="eastAsia"/>
        </w:rPr>
        <w:t>的消毒液（</w:t>
      </w:r>
      <w:r>
        <w:rPr>
          <w:rFonts w:hint="eastAsia" w:ascii="Times New Roman"/>
        </w:rPr>
        <w:t>84</w:t>
      </w:r>
      <w:r>
        <w:rPr>
          <w:rFonts w:hint="eastAsia"/>
        </w:rPr>
        <w:t>液），表面消毒</w:t>
      </w:r>
      <w:r>
        <w:rPr>
          <w:rFonts w:hint="eastAsia" w:ascii="Times New Roman"/>
        </w:rPr>
        <w:t>15 min</w:t>
      </w:r>
      <w:r>
        <w:rPr>
          <w:rFonts w:hint="eastAsia"/>
        </w:rPr>
        <w:t>，然后用无菌水清洗</w:t>
      </w:r>
      <w:r>
        <w:rPr>
          <w:rFonts w:hint="eastAsia" w:ascii="Times New Roman"/>
        </w:rPr>
        <w:t>3次，每次5 min。</w:t>
      </w:r>
    </w:p>
    <w:p w14:paraId="14D87697">
      <w:pPr>
        <w:pStyle w:val="174"/>
      </w:pPr>
      <w:r>
        <w:rPr>
          <w:rFonts w:hint="eastAsia" w:ascii="Times New Roman"/>
        </w:rPr>
        <w:t>用75%的酒精表面消毒1min，再用升汞消毒8</w:t>
      </w:r>
      <w:r>
        <w:rPr>
          <w:rFonts w:ascii="Times New Roman"/>
        </w:rPr>
        <w:t>~</w:t>
      </w:r>
      <w:r>
        <w:rPr>
          <w:rFonts w:hint="eastAsia" w:ascii="Times New Roman"/>
        </w:rPr>
        <w:t>10min，最后用无菌水清洗3次，</w:t>
      </w:r>
      <w:r>
        <w:rPr>
          <w:rFonts w:hint="eastAsia"/>
        </w:rPr>
        <w:t>每次</w:t>
      </w:r>
      <w:r>
        <w:rPr>
          <w:rFonts w:hint="eastAsia" w:ascii="Times New Roman"/>
        </w:rPr>
        <w:t>5</w:t>
      </w:r>
      <w:r>
        <w:rPr>
          <w:rFonts w:ascii="Times New Roman"/>
        </w:rPr>
        <w:t xml:space="preserve"> </w:t>
      </w:r>
      <w:r>
        <w:rPr>
          <w:rFonts w:hint="eastAsia" w:ascii="Times New Roman"/>
        </w:rPr>
        <w:t>min</w:t>
      </w:r>
      <w:r>
        <w:rPr>
          <w:rFonts w:hint="eastAsia"/>
        </w:rPr>
        <w:t xml:space="preserve">。    </w:t>
      </w:r>
    </w:p>
    <w:p w14:paraId="028D9244">
      <w:pPr>
        <w:pStyle w:val="104"/>
        <w:spacing w:before="240" w:after="240"/>
      </w:pPr>
      <w:r>
        <w:rPr>
          <w:rFonts w:hint="eastAsia"/>
        </w:rPr>
        <w:t>培养基的配置及灭菌</w:t>
      </w:r>
    </w:p>
    <w:p w14:paraId="45F83D1B">
      <w:pPr>
        <w:pStyle w:val="105"/>
        <w:spacing w:before="120" w:after="120"/>
      </w:pPr>
      <w:r>
        <w:rPr>
          <w:rFonts w:hint="eastAsia"/>
        </w:rPr>
        <w:t>配置</w:t>
      </w:r>
    </w:p>
    <w:p w14:paraId="36C73AC1">
      <w:pPr>
        <w:pStyle w:val="56"/>
        <w:ind w:firstLine="420"/>
      </w:pPr>
      <w:r>
        <w:rPr>
          <w:rFonts w:hint="eastAsia"/>
        </w:rPr>
        <w:t>见附录A。</w:t>
      </w:r>
    </w:p>
    <w:p w14:paraId="05920EB0">
      <w:pPr>
        <w:pStyle w:val="105"/>
        <w:spacing w:before="120" w:after="120"/>
      </w:pPr>
      <w:r>
        <w:rPr>
          <w:rFonts w:hint="eastAsia"/>
        </w:rPr>
        <w:t>灭菌</w:t>
      </w:r>
    </w:p>
    <w:p w14:paraId="493E73EA">
      <w:pPr>
        <w:pStyle w:val="65"/>
        <w:spacing w:before="120" w:after="120"/>
      </w:pPr>
      <w:r>
        <w:rPr>
          <w:rFonts w:hint="eastAsia"/>
        </w:rPr>
        <w:t>抽滤灭菌</w:t>
      </w:r>
    </w:p>
    <w:p w14:paraId="0917241A">
      <w:pPr>
        <w:pStyle w:val="56"/>
        <w:ind w:firstLine="420"/>
      </w:pPr>
      <w:r>
        <w:t>NLN-13</w:t>
      </w:r>
      <w:r>
        <w:rPr>
          <w:rFonts w:hint="eastAsia"/>
        </w:rPr>
        <w:t>培养基应抽滤灭菌。先用真空泵和抽滤罐，分别用</w:t>
      </w:r>
      <w:r>
        <w:t>0.8 m</w:t>
      </w:r>
      <w:r>
        <w:rPr>
          <w:rFonts w:hint="eastAsia"/>
        </w:rPr>
        <w:t>，</w:t>
      </w:r>
      <w:r>
        <w:t>0.22 m</w:t>
      </w:r>
      <w:r>
        <w:rPr>
          <w:rFonts w:hint="eastAsia"/>
        </w:rPr>
        <w:t>孔径的混合纤维素酯膜（</w:t>
      </w:r>
      <w:r>
        <w:t>MCE</w:t>
      </w:r>
      <w:r>
        <w:rPr>
          <w:rFonts w:hint="eastAsia"/>
        </w:rPr>
        <w:t>）对培养基进行初步过滤，再通过无菌过滤器和蠕动泵，过滤、分装到无菌容器中，</w:t>
      </w:r>
      <w:r>
        <w:t>25</w:t>
      </w:r>
      <w:r>
        <w:rPr>
          <w:rFonts w:hint="eastAsia"/>
        </w:rPr>
        <w:t>℃静置</w:t>
      </w:r>
      <w:r>
        <w:t>24h</w:t>
      </w:r>
      <w:r>
        <w:rPr>
          <w:rFonts w:hint="eastAsia"/>
        </w:rPr>
        <w:t>后使用。</w:t>
      </w:r>
    </w:p>
    <w:p w14:paraId="0D1501C7">
      <w:pPr>
        <w:pStyle w:val="65"/>
        <w:spacing w:before="120" w:after="120"/>
      </w:pPr>
      <w:r>
        <w:rPr>
          <w:rFonts w:hint="eastAsia"/>
        </w:rPr>
        <w:t>高温高压灭菌</w:t>
      </w:r>
    </w:p>
    <w:p w14:paraId="678BC23A">
      <w:pPr>
        <w:pStyle w:val="56"/>
        <w:ind w:firstLine="420"/>
      </w:pPr>
      <w:r>
        <w:rPr>
          <w:rFonts w:hint="eastAsia"/>
        </w:rPr>
        <w:t>B5-13、B5、MS培养基，应采用高温高压灭菌，121℃，103.4kPa，20min。</w:t>
      </w:r>
    </w:p>
    <w:p w14:paraId="02D7E667">
      <w:pPr>
        <w:pStyle w:val="104"/>
        <w:spacing w:before="240" w:after="240"/>
      </w:pPr>
      <w:r>
        <w:rPr>
          <w:rFonts w:hint="eastAsia"/>
        </w:rPr>
        <w:t>小孢子培养方法</w:t>
      </w:r>
    </w:p>
    <w:p w14:paraId="4653966D">
      <w:pPr>
        <w:pStyle w:val="105"/>
        <w:spacing w:before="120" w:after="120"/>
      </w:pPr>
      <w:r>
        <w:rPr>
          <w:rFonts w:hint="eastAsia"/>
        </w:rPr>
        <w:t>小孢子提取</w:t>
      </w:r>
    </w:p>
    <w:p w14:paraId="29B71C93">
      <w:pPr>
        <w:pStyle w:val="56"/>
        <w:ind w:firstLine="420"/>
      </w:pPr>
      <w:r>
        <w:rPr>
          <w:rFonts w:hint="eastAsia"/>
        </w:rPr>
        <w:t>步骤如下：</w:t>
      </w:r>
    </w:p>
    <w:p w14:paraId="3DA996AC">
      <w:pPr>
        <w:pStyle w:val="109"/>
        <w:numPr>
          <w:ilvl w:val="1"/>
          <w:numId w:val="32"/>
        </w:numPr>
      </w:pPr>
      <w:r>
        <w:rPr>
          <w:rFonts w:hint="eastAsia"/>
        </w:rPr>
        <w:t>将表面清洗消毒后的花蕾放置于离心管中，加入</w:t>
      </w:r>
      <w:r>
        <w:rPr>
          <w:rFonts w:hint="eastAsia" w:ascii="Times New Roman"/>
        </w:rPr>
        <w:t>30m</w:t>
      </w:r>
      <w:r>
        <w:rPr>
          <w:rFonts w:ascii="Times New Roman"/>
        </w:rPr>
        <w:t>L~</w:t>
      </w:r>
      <w:r>
        <w:rPr>
          <w:rFonts w:hint="eastAsia" w:ascii="Times New Roman"/>
        </w:rPr>
        <w:t>40m</w:t>
      </w:r>
      <w:r>
        <w:rPr>
          <w:rFonts w:ascii="Times New Roman"/>
        </w:rPr>
        <w:t xml:space="preserve">L </w:t>
      </w:r>
      <w:r>
        <w:rPr>
          <w:rFonts w:hint="eastAsia" w:ascii="Times New Roman"/>
        </w:rPr>
        <w:t>B5-13</w:t>
      </w:r>
      <w:r>
        <w:rPr>
          <w:rFonts w:hint="eastAsia"/>
        </w:rPr>
        <w:t>分离洗脱培养基，用玻璃棒研磨使花粉散出。</w:t>
      </w:r>
    </w:p>
    <w:p w14:paraId="266FB710">
      <w:pPr>
        <w:pStyle w:val="109"/>
      </w:pPr>
      <w:r>
        <w:rPr>
          <w:rFonts w:hint="eastAsia"/>
        </w:rPr>
        <w:t>将花粉悬浮液倒入过滤器（小漏斗和</w:t>
      </w:r>
      <w:r>
        <w:rPr>
          <w:rFonts w:hint="eastAsia" w:ascii="Times New Roman"/>
        </w:rPr>
        <w:t>300</w:t>
      </w:r>
      <w:r>
        <w:rPr>
          <w:rFonts w:hint="eastAsia"/>
        </w:rPr>
        <w:t>目尼龙纱网组成），滤入50ml离心管。</w:t>
      </w:r>
    </w:p>
    <w:p w14:paraId="032145A6">
      <w:pPr>
        <w:pStyle w:val="109"/>
      </w:pPr>
      <w:r>
        <w:rPr>
          <w:rFonts w:hint="eastAsia" w:ascii="Times New Roman"/>
        </w:rPr>
        <w:t>800</w:t>
      </w:r>
      <w:r>
        <w:rPr>
          <w:rFonts w:ascii="Times New Roman"/>
        </w:rPr>
        <w:t>~</w:t>
      </w:r>
      <w:r>
        <w:rPr>
          <w:rFonts w:hint="eastAsia" w:ascii="Times New Roman"/>
        </w:rPr>
        <w:t>1000</w:t>
      </w:r>
      <w:r>
        <w:rPr>
          <w:rFonts w:ascii="Times New Roman"/>
        </w:rPr>
        <w:t xml:space="preserve"> </w:t>
      </w:r>
      <w:r>
        <w:rPr>
          <w:rFonts w:hint="eastAsia" w:ascii="Times New Roman"/>
        </w:rPr>
        <w:t>rpm/min</w:t>
      </w:r>
      <w:r>
        <w:rPr>
          <w:rFonts w:hint="eastAsia"/>
        </w:rPr>
        <w:t>，离心</w:t>
      </w:r>
      <w:r>
        <w:rPr>
          <w:rFonts w:hint="eastAsia" w:ascii="Times New Roman"/>
        </w:rPr>
        <w:t>4min</w:t>
      </w:r>
      <w:r>
        <w:rPr>
          <w:rFonts w:hint="eastAsia"/>
        </w:rPr>
        <w:t>，弃上清液，再加入</w:t>
      </w:r>
      <w:r>
        <w:rPr>
          <w:rFonts w:hint="eastAsia" w:ascii="Times New Roman"/>
        </w:rPr>
        <w:t>30m</w:t>
      </w:r>
      <w:r>
        <w:rPr>
          <w:rFonts w:ascii="Times New Roman"/>
        </w:rPr>
        <w:t>L~</w:t>
      </w:r>
      <w:r>
        <w:rPr>
          <w:rFonts w:hint="eastAsia" w:ascii="Times New Roman"/>
        </w:rPr>
        <w:t>40m</w:t>
      </w:r>
      <w:r>
        <w:rPr>
          <w:rFonts w:ascii="Times New Roman"/>
        </w:rPr>
        <w:t xml:space="preserve">L </w:t>
      </w:r>
      <w:r>
        <w:rPr>
          <w:rFonts w:hint="eastAsia" w:ascii="Times New Roman"/>
        </w:rPr>
        <w:t>B5-13</w:t>
      </w:r>
      <w:r>
        <w:rPr>
          <w:rFonts w:hint="eastAsia"/>
        </w:rPr>
        <w:t>洗脱液，重复洗脱至少2次。</w:t>
      </w:r>
    </w:p>
    <w:p w14:paraId="19ED263E">
      <w:pPr>
        <w:pStyle w:val="105"/>
        <w:spacing w:before="120" w:after="120"/>
      </w:pPr>
      <w:r>
        <w:rPr>
          <w:rFonts w:hint="eastAsia"/>
        </w:rPr>
        <w:t>胚诱导培养</w:t>
      </w:r>
    </w:p>
    <w:p w14:paraId="7DDB87D1">
      <w:pPr>
        <w:pStyle w:val="56"/>
        <w:ind w:firstLine="420"/>
      </w:pPr>
      <w:r>
        <w:rPr>
          <w:rFonts w:hint="eastAsia"/>
        </w:rPr>
        <w:t>步骤如下：</w:t>
      </w:r>
    </w:p>
    <w:p w14:paraId="427035A4">
      <w:pPr>
        <w:pStyle w:val="109"/>
        <w:numPr>
          <w:ilvl w:val="1"/>
          <w:numId w:val="33"/>
        </w:numPr>
      </w:pPr>
      <w:r>
        <w:rPr>
          <w:rFonts w:hint="eastAsia"/>
        </w:rPr>
        <w:t>用</w:t>
      </w:r>
      <w:r>
        <w:rPr>
          <w:rFonts w:hint="eastAsia" w:ascii="Times New Roman"/>
        </w:rPr>
        <w:t>NLN-13</w:t>
      </w:r>
      <w:r>
        <w:rPr>
          <w:rFonts w:hint="eastAsia"/>
        </w:rPr>
        <w:t>培养基将收集到小孢子进行稀释，并分装到</w:t>
      </w:r>
      <w:r>
        <w:rPr>
          <w:rFonts w:hint="eastAsia" w:ascii="Times New Roman"/>
        </w:rPr>
        <w:t>9 cm</w:t>
      </w:r>
      <w:r>
        <w:rPr>
          <w:rFonts w:hint="eastAsia"/>
        </w:rPr>
        <w:t>培养皿中，每皿</w:t>
      </w:r>
      <w:r>
        <w:rPr>
          <w:rFonts w:hint="eastAsia" w:ascii="Times New Roman"/>
        </w:rPr>
        <w:t>15mL</w:t>
      </w:r>
      <w:r>
        <w:rPr>
          <w:rFonts w:ascii="Times New Roman"/>
        </w:rPr>
        <w:t>~</w:t>
      </w:r>
      <w:r>
        <w:rPr>
          <w:rFonts w:hint="eastAsia" w:ascii="Times New Roman"/>
        </w:rPr>
        <w:t>20mL</w:t>
      </w:r>
      <w:r>
        <w:rPr>
          <w:rFonts w:hint="eastAsia"/>
        </w:rPr>
        <w:t>，用封口膜封口。</w:t>
      </w:r>
    </w:p>
    <w:p w14:paraId="53A8D6D1">
      <w:pPr>
        <w:pStyle w:val="109"/>
      </w:pPr>
      <w:r>
        <w:rPr>
          <w:rFonts w:hint="eastAsia" w:ascii="Times New Roman"/>
        </w:rPr>
        <w:t>32℃</w:t>
      </w:r>
      <w:r>
        <w:rPr>
          <w:rFonts w:hint="eastAsia"/>
        </w:rPr>
        <w:t>黑暗热激培养</w:t>
      </w:r>
      <w:r>
        <w:rPr>
          <w:rFonts w:hint="eastAsia" w:ascii="Times New Roman"/>
        </w:rPr>
        <w:t>48h</w:t>
      </w:r>
      <w:r>
        <w:rPr>
          <w:rFonts w:hint="eastAsia"/>
        </w:rPr>
        <w:t>，然后静置在</w:t>
      </w:r>
      <w:r>
        <w:rPr>
          <w:rFonts w:hint="eastAsia" w:ascii="Times New Roman"/>
        </w:rPr>
        <w:t>25℃</w:t>
      </w:r>
      <w:r>
        <w:rPr>
          <w:rFonts w:hint="eastAsia"/>
        </w:rPr>
        <w:t>恒温条件下进行暗培养。</w:t>
      </w:r>
    </w:p>
    <w:p w14:paraId="69BA9D2B">
      <w:pPr>
        <w:pStyle w:val="109"/>
      </w:pPr>
      <w:r>
        <w:rPr>
          <w:rFonts w:hint="eastAsia" w:ascii="Times New Roman"/>
        </w:rPr>
        <w:t>10</w:t>
      </w:r>
      <w:r>
        <w:rPr>
          <w:rFonts w:ascii="Times New Roman"/>
        </w:rPr>
        <w:t>~</w:t>
      </w:r>
      <w:r>
        <w:rPr>
          <w:rFonts w:hint="eastAsia" w:ascii="Times New Roman"/>
        </w:rPr>
        <w:t>12d</w:t>
      </w:r>
      <w:r>
        <w:rPr>
          <w:rFonts w:hint="eastAsia"/>
        </w:rPr>
        <w:t>左右肉眼可见胚状体形成，移至</w:t>
      </w:r>
      <w:r>
        <w:rPr>
          <w:rFonts w:hint="eastAsia" w:ascii="Times New Roman"/>
        </w:rPr>
        <w:t>50</w:t>
      </w:r>
      <w:r>
        <w:rPr>
          <w:rFonts w:ascii="Times New Roman"/>
        </w:rPr>
        <w:t xml:space="preserve"> </w:t>
      </w:r>
      <w:r>
        <w:rPr>
          <w:rFonts w:hint="eastAsia" w:ascii="Times New Roman"/>
        </w:rPr>
        <w:t>rpm/min、25℃</w:t>
      </w:r>
      <w:r>
        <w:rPr>
          <w:rFonts w:hint="eastAsia"/>
        </w:rPr>
        <w:t>恒温摇床上继续进行振荡暗培养。</w:t>
      </w:r>
    </w:p>
    <w:p w14:paraId="24580692">
      <w:pPr>
        <w:pStyle w:val="105"/>
        <w:spacing w:before="120" w:after="120"/>
      </w:pPr>
      <w:r>
        <w:rPr>
          <w:rFonts w:hint="eastAsia"/>
        </w:rPr>
        <w:t>胚状体冷处理</w:t>
      </w:r>
    </w:p>
    <w:p w14:paraId="37BA4CF5">
      <w:pPr>
        <w:pStyle w:val="56"/>
        <w:ind w:firstLine="420"/>
      </w:pPr>
      <w:r>
        <w:rPr>
          <w:rFonts w:hint="eastAsia"/>
        </w:rPr>
        <w:t>将发育至5mm~10mm的子叶型胚放置在4℃条件下，处理20d。</w:t>
      </w:r>
    </w:p>
    <w:p w14:paraId="77CB9C4C">
      <w:pPr>
        <w:pStyle w:val="105"/>
        <w:spacing w:before="120" w:after="120"/>
      </w:pPr>
      <w:r>
        <w:rPr>
          <w:rFonts w:hint="eastAsia"/>
        </w:rPr>
        <w:t>再生植株的诱导培养</w:t>
      </w:r>
    </w:p>
    <w:p w14:paraId="65551ED4">
      <w:pPr>
        <w:pStyle w:val="56"/>
        <w:ind w:firstLine="420"/>
      </w:pPr>
      <w:r>
        <w:rPr>
          <w:rFonts w:hint="eastAsia"/>
        </w:rPr>
        <w:t>将经过低温处理的子叶型胚接种在B5固体培养基上，于25℃，16 h光/8 h暗，2000</w:t>
      </w:r>
      <w:r>
        <w:t xml:space="preserve"> </w:t>
      </w:r>
      <w:r>
        <w:rPr>
          <w:rFonts w:hint="eastAsia"/>
        </w:rPr>
        <w:t>LUX光强条件下培养。</w:t>
      </w:r>
    </w:p>
    <w:p w14:paraId="627A2D2C">
      <w:pPr>
        <w:pStyle w:val="105"/>
        <w:spacing w:before="120" w:after="120"/>
      </w:pPr>
      <w:r>
        <w:rPr>
          <w:rFonts w:hint="eastAsia"/>
        </w:rPr>
        <w:t>再生植株的继代培养</w:t>
      </w:r>
    </w:p>
    <w:p w14:paraId="72F7D8B7">
      <w:pPr>
        <w:pStyle w:val="56"/>
        <w:ind w:firstLine="420"/>
      </w:pPr>
      <w:r>
        <w:rPr>
          <w:rFonts w:hint="eastAsia"/>
        </w:rPr>
        <w:t>切取胚状体上的再生植株的生长点，接种在MS固体培养基上继代培养。</w:t>
      </w:r>
    </w:p>
    <w:p w14:paraId="0F4D0912">
      <w:pPr>
        <w:pStyle w:val="104"/>
        <w:spacing w:before="240" w:after="240"/>
      </w:pPr>
      <w:r>
        <w:rPr>
          <w:rFonts w:hint="eastAsia"/>
        </w:rPr>
        <w:t>再生植株加倍</w:t>
      </w:r>
    </w:p>
    <w:p w14:paraId="6D771D58">
      <w:pPr>
        <w:pStyle w:val="105"/>
        <w:spacing w:before="120" w:after="120"/>
      </w:pPr>
      <w:r>
        <w:rPr>
          <w:rFonts w:hint="eastAsia"/>
        </w:rPr>
        <w:t>土壤基质</w:t>
      </w:r>
    </w:p>
    <w:p w14:paraId="093EBC7B">
      <w:pPr>
        <w:pStyle w:val="56"/>
        <w:ind w:firstLine="420"/>
      </w:pPr>
      <w:r>
        <w:rPr>
          <w:rFonts w:hint="eastAsia"/>
        </w:rPr>
        <w:t>再生苗移植前施肥，平均每亩施有机肥160.00kg/667m</w:t>
      </w:r>
      <w:r>
        <w:rPr>
          <w:rFonts w:hint="eastAsia"/>
          <w:vertAlign w:val="superscript"/>
        </w:rPr>
        <w:t>2</w:t>
      </w:r>
      <w:r>
        <w:rPr>
          <w:rFonts w:hint="eastAsia"/>
        </w:rPr>
        <w:t>。</w:t>
      </w:r>
    </w:p>
    <w:p w14:paraId="3ABA842F">
      <w:pPr>
        <w:pStyle w:val="105"/>
        <w:spacing w:before="120" w:after="120"/>
      </w:pPr>
      <w:r>
        <w:rPr>
          <w:rFonts w:hint="eastAsia"/>
        </w:rPr>
        <w:t>栽培及壮苗</w:t>
      </w:r>
    </w:p>
    <w:p w14:paraId="192E841F">
      <w:pPr>
        <w:pStyle w:val="56"/>
        <w:ind w:firstLine="420"/>
      </w:pPr>
      <w:r>
        <w:rPr>
          <w:rFonts w:hint="eastAsia"/>
        </w:rPr>
        <w:t>再生苗在MS培养基上生长30d后，可移栽到温室土壤中。移栽初期需要用遮阴网和透明塑料杯遮光、保湿。练苗15d后，揭开遮阴网和杯子，使其在自然光照下生长。单倍体植株长出3~5片新叶时，进行染色体加倍。</w:t>
      </w:r>
    </w:p>
    <w:p w14:paraId="05B67205">
      <w:pPr>
        <w:pStyle w:val="105"/>
        <w:spacing w:before="120" w:after="120"/>
      </w:pPr>
      <w:r>
        <w:rPr>
          <w:rFonts w:hint="eastAsia"/>
        </w:rPr>
        <w:t>单倍体苗加倍</w:t>
      </w:r>
    </w:p>
    <w:p w14:paraId="5C2A1B04">
      <w:pPr>
        <w:pStyle w:val="56"/>
        <w:ind w:firstLine="420"/>
      </w:pPr>
      <w:r>
        <w:rPr>
          <w:rFonts w:hint="eastAsia"/>
        </w:rPr>
        <w:t>将植株挖出，洗净根部泥土，在浓度0.3%的秋水仙碱溶液中，浸根7h。然后，将植株根部残留的秋水仙碱用流水冲洗干净，重新栽种到土壤中，灌透水，并遮光、缓苗。</w:t>
      </w:r>
    </w:p>
    <w:p w14:paraId="43C065E3">
      <w:pPr>
        <w:pStyle w:val="105"/>
        <w:spacing w:before="120" w:after="120"/>
      </w:pPr>
      <w:r>
        <w:rPr>
          <w:rFonts w:hint="eastAsia"/>
        </w:rPr>
        <w:t>施肥管理</w:t>
      </w:r>
    </w:p>
    <w:p w14:paraId="1AC93E85">
      <w:pPr>
        <w:pStyle w:val="56"/>
        <w:ind w:firstLine="420"/>
      </w:pPr>
      <w:r>
        <w:rPr>
          <w:rFonts w:hint="eastAsia"/>
        </w:rPr>
        <w:t>缓苗15d后，取开遮阴网，松土、除草、去黄叶、死叶，并追施尿素3.00kg/667m</w:t>
      </w:r>
      <w:r>
        <w:rPr>
          <w:rFonts w:hint="eastAsia"/>
          <w:vertAlign w:val="superscript"/>
        </w:rPr>
        <w:t>2</w:t>
      </w:r>
      <w:r>
        <w:rPr>
          <w:rFonts w:hint="eastAsia"/>
        </w:rPr>
        <w:t>。开花后，及时拔除未能加倍的植株，再追施尿素4.00kg/667m</w:t>
      </w:r>
      <w:r>
        <w:rPr>
          <w:rFonts w:hint="eastAsia"/>
          <w:vertAlign w:val="superscript"/>
        </w:rPr>
        <w:t>2</w:t>
      </w:r>
      <w:r>
        <w:rPr>
          <w:rFonts w:hint="eastAsia"/>
        </w:rPr>
        <w:t>，加倍正常植株套袋留种。</w:t>
      </w:r>
    </w:p>
    <w:p w14:paraId="2976BAB9">
      <w:pPr>
        <w:pStyle w:val="105"/>
        <w:spacing w:before="120" w:after="120"/>
      </w:pPr>
      <w:r>
        <w:rPr>
          <w:rFonts w:hint="eastAsia"/>
        </w:rPr>
        <w:t>病虫害防治</w:t>
      </w:r>
    </w:p>
    <w:p w14:paraId="3EE5C097">
      <w:pPr>
        <w:pStyle w:val="56"/>
        <w:ind w:firstLine="420"/>
      </w:pPr>
      <w:r>
        <w:rPr>
          <w:rFonts w:hint="eastAsia"/>
        </w:rPr>
        <w:t>主要病害为白粉病，虫害为小菜蛾和蚜虫，防治方法按DB63/T 943执行。</w:t>
      </w:r>
    </w:p>
    <w:p w14:paraId="47AE80DE">
      <w:pPr>
        <w:widowControl/>
        <w:adjustRightInd/>
        <w:spacing w:line="240" w:lineRule="auto"/>
        <w:rPr>
          <w:rFonts w:ascii="Times New Roman" w:hAnsi="Times New Roman"/>
          <w:kern w:val="0"/>
          <w:szCs w:val="20"/>
        </w:rPr>
      </w:pPr>
      <w:r>
        <w:br w:type="page"/>
      </w:r>
    </w:p>
    <w:p w14:paraId="22CE0B90">
      <w:pPr>
        <w:pStyle w:val="56"/>
        <w:ind w:firstLine="420"/>
      </w:pPr>
    </w:p>
    <w:bookmarkEnd w:id="18"/>
    <w:p w14:paraId="7C258887">
      <w:pPr>
        <w:pStyle w:val="198"/>
      </w:pPr>
      <w:bookmarkStart w:id="40" w:name="BookMark5"/>
    </w:p>
    <w:p w14:paraId="30E6ACB2">
      <w:pPr>
        <w:pStyle w:val="199"/>
      </w:pPr>
    </w:p>
    <w:p w14:paraId="36607874">
      <w:pPr>
        <w:pStyle w:val="76"/>
        <w:spacing w:after="120"/>
        <w:ind w:left="0"/>
      </w:pPr>
      <w:r>
        <w:br w:type="textWrapping"/>
      </w:r>
      <w:r>
        <w:rPr>
          <w:rFonts w:hint="eastAsia"/>
        </w:rPr>
        <w:t>（规范性）</w:t>
      </w:r>
      <w:r>
        <w:br w:type="textWrapping"/>
      </w:r>
      <w:r>
        <w:rPr>
          <w:rFonts w:hint="eastAsia"/>
        </w:rPr>
        <w:t>培养基配方</w:t>
      </w:r>
    </w:p>
    <w:p w14:paraId="22A2F24F">
      <w:pPr>
        <w:pStyle w:val="56"/>
        <w:ind w:firstLine="420"/>
      </w:pPr>
      <w:r>
        <w:t>培养基配方见表A.1</w:t>
      </w:r>
    </w:p>
    <w:p w14:paraId="0615B31F">
      <w:pPr>
        <w:pStyle w:val="77"/>
        <w:spacing w:before="120" w:after="120"/>
        <w:rPr>
          <w:rFonts w:hAnsi="黑体" w:cs="黑体"/>
        </w:rPr>
      </w:pPr>
      <w:r>
        <w:t>培养基配方表</w:t>
      </w:r>
    </w:p>
    <w:tbl>
      <w:tblPr>
        <w:tblStyle w:val="27"/>
        <w:tblW w:w="9355"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0" w:type="dxa"/>
          <w:bottom w:w="0" w:type="dxa"/>
          <w:right w:w="100" w:type="dxa"/>
        </w:tblCellMar>
      </w:tblPr>
      <w:tblGrid>
        <w:gridCol w:w="2065"/>
        <w:gridCol w:w="1677"/>
        <w:gridCol w:w="1871"/>
        <w:gridCol w:w="1871"/>
        <w:gridCol w:w="1871"/>
      </w:tblGrid>
      <w:tr w14:paraId="0FE4A2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97" w:hRule="exact"/>
        </w:trPr>
        <w:tc>
          <w:tcPr>
            <w:tcW w:w="2065" w:type="dxa"/>
            <w:tcBorders>
              <w:top w:val="single" w:color="auto" w:sz="8" w:space="0"/>
              <w:bottom w:val="single" w:color="auto" w:sz="8" w:space="0"/>
            </w:tcBorders>
            <w:shd w:val="clear" w:color="auto" w:fill="auto"/>
            <w:vAlign w:val="center"/>
          </w:tcPr>
          <w:p w14:paraId="26135008">
            <w:pPr>
              <w:pStyle w:val="230"/>
              <w:ind w:firstLine="0" w:firstLineChars="0"/>
              <w:jc w:val="center"/>
              <w:rPr>
                <w:rFonts w:ascii="Times New Roman" w:eastAsiaTheme="minorEastAsia"/>
                <w:sz w:val="18"/>
                <w:szCs w:val="18"/>
              </w:rPr>
            </w:pPr>
            <w:r>
              <w:rPr>
                <w:rFonts w:ascii="Times New Roman" w:eastAsiaTheme="minorEastAsia"/>
                <w:sz w:val="18"/>
                <w:szCs w:val="18"/>
              </w:rPr>
              <w:t>名称</w:t>
            </w:r>
          </w:p>
        </w:tc>
        <w:tc>
          <w:tcPr>
            <w:tcW w:w="1677" w:type="dxa"/>
            <w:tcBorders>
              <w:top w:val="single" w:color="auto" w:sz="8" w:space="0"/>
              <w:bottom w:val="single" w:color="auto" w:sz="8" w:space="0"/>
            </w:tcBorders>
            <w:shd w:val="clear" w:color="auto" w:fill="auto"/>
            <w:vAlign w:val="center"/>
          </w:tcPr>
          <w:p w14:paraId="55430996">
            <w:pPr>
              <w:pStyle w:val="230"/>
              <w:ind w:firstLine="0" w:firstLineChars="0"/>
              <w:jc w:val="center"/>
              <w:rPr>
                <w:rFonts w:ascii="Times New Roman" w:eastAsiaTheme="minorEastAsia"/>
                <w:sz w:val="18"/>
                <w:szCs w:val="18"/>
              </w:rPr>
            </w:pPr>
            <w:r>
              <w:rPr>
                <w:rFonts w:hint="eastAsia" w:ascii="Times New Roman" w:eastAsiaTheme="minorEastAsia"/>
                <w:sz w:val="18"/>
                <w:szCs w:val="18"/>
              </w:rPr>
              <w:t>药品</w:t>
            </w:r>
            <w:r>
              <w:rPr>
                <w:rFonts w:ascii="Times New Roman" w:eastAsiaTheme="minorEastAsia"/>
                <w:sz w:val="18"/>
                <w:szCs w:val="18"/>
              </w:rPr>
              <w:t>用量g/L</w:t>
            </w:r>
          </w:p>
        </w:tc>
        <w:tc>
          <w:tcPr>
            <w:tcW w:w="1871" w:type="dxa"/>
            <w:tcBorders>
              <w:top w:val="single" w:color="auto" w:sz="8" w:space="0"/>
              <w:bottom w:val="single" w:color="auto" w:sz="8" w:space="0"/>
            </w:tcBorders>
            <w:shd w:val="clear" w:color="auto" w:fill="auto"/>
            <w:vAlign w:val="center"/>
          </w:tcPr>
          <w:p w14:paraId="3341FBC3">
            <w:pPr>
              <w:pStyle w:val="230"/>
              <w:ind w:firstLine="0" w:firstLineChars="0"/>
              <w:jc w:val="center"/>
              <w:rPr>
                <w:rFonts w:ascii="Times New Roman" w:eastAsiaTheme="minorEastAsia"/>
                <w:sz w:val="18"/>
                <w:szCs w:val="18"/>
              </w:rPr>
            </w:pPr>
            <w:r>
              <w:rPr>
                <w:rFonts w:ascii="Times New Roman" w:eastAsiaTheme="minorEastAsia"/>
                <w:sz w:val="18"/>
                <w:szCs w:val="18"/>
              </w:rPr>
              <w:t>蔗糖</w:t>
            </w:r>
            <w:r>
              <w:rPr>
                <w:rFonts w:hint="eastAsia" w:ascii="Times New Roman" w:eastAsiaTheme="minorEastAsia"/>
                <w:sz w:val="18"/>
                <w:szCs w:val="18"/>
              </w:rPr>
              <w:t>用</w:t>
            </w:r>
            <w:r>
              <w:rPr>
                <w:rFonts w:ascii="Times New Roman" w:eastAsiaTheme="minorEastAsia"/>
                <w:sz w:val="18"/>
                <w:szCs w:val="18"/>
              </w:rPr>
              <w:t>量g/L</w:t>
            </w:r>
          </w:p>
        </w:tc>
        <w:tc>
          <w:tcPr>
            <w:tcW w:w="1871" w:type="dxa"/>
            <w:tcBorders>
              <w:top w:val="single" w:color="auto" w:sz="8" w:space="0"/>
              <w:bottom w:val="single" w:color="auto" w:sz="8" w:space="0"/>
            </w:tcBorders>
            <w:shd w:val="clear" w:color="auto" w:fill="auto"/>
            <w:vAlign w:val="center"/>
          </w:tcPr>
          <w:p w14:paraId="715D064D">
            <w:pPr>
              <w:pStyle w:val="230"/>
              <w:ind w:firstLine="0" w:firstLineChars="0"/>
              <w:jc w:val="center"/>
              <w:rPr>
                <w:rFonts w:ascii="Times New Roman" w:eastAsiaTheme="minorEastAsia"/>
                <w:sz w:val="18"/>
                <w:szCs w:val="18"/>
              </w:rPr>
            </w:pPr>
            <w:r>
              <w:rPr>
                <w:rFonts w:ascii="Times New Roman" w:eastAsiaTheme="minorEastAsia"/>
                <w:sz w:val="18"/>
                <w:szCs w:val="18"/>
              </w:rPr>
              <w:t>琼脂</w:t>
            </w:r>
            <w:r>
              <w:rPr>
                <w:rFonts w:hint="eastAsia" w:ascii="Times New Roman" w:eastAsiaTheme="minorEastAsia"/>
                <w:sz w:val="18"/>
                <w:szCs w:val="18"/>
              </w:rPr>
              <w:t>用</w:t>
            </w:r>
            <w:r>
              <w:rPr>
                <w:rFonts w:ascii="Times New Roman" w:eastAsiaTheme="minorEastAsia"/>
                <w:sz w:val="18"/>
                <w:szCs w:val="18"/>
              </w:rPr>
              <w:t>量g/L</w:t>
            </w:r>
          </w:p>
        </w:tc>
        <w:tc>
          <w:tcPr>
            <w:tcW w:w="1871" w:type="dxa"/>
            <w:tcBorders>
              <w:top w:val="single" w:color="auto" w:sz="8" w:space="0"/>
              <w:bottom w:val="single" w:color="auto" w:sz="8" w:space="0"/>
            </w:tcBorders>
            <w:shd w:val="clear" w:color="auto" w:fill="auto"/>
            <w:vAlign w:val="center"/>
          </w:tcPr>
          <w:p w14:paraId="7E9A6840">
            <w:pPr>
              <w:pStyle w:val="230"/>
              <w:ind w:firstLine="0" w:firstLineChars="0"/>
              <w:jc w:val="center"/>
              <w:rPr>
                <w:rFonts w:ascii="Times New Roman" w:eastAsiaTheme="minorEastAsia"/>
                <w:sz w:val="18"/>
                <w:szCs w:val="18"/>
              </w:rPr>
            </w:pPr>
            <w:r>
              <w:rPr>
                <w:rFonts w:ascii="Times New Roman" w:eastAsiaTheme="minorEastAsia"/>
                <w:sz w:val="18"/>
                <w:szCs w:val="18"/>
              </w:rPr>
              <w:t>PH值</w:t>
            </w:r>
          </w:p>
        </w:tc>
      </w:tr>
      <w:tr w14:paraId="18659D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97" w:hRule="exact"/>
        </w:trPr>
        <w:tc>
          <w:tcPr>
            <w:tcW w:w="2065" w:type="dxa"/>
            <w:tcBorders>
              <w:top w:val="single" w:color="auto" w:sz="8" w:space="0"/>
            </w:tcBorders>
            <w:shd w:val="clear" w:color="auto" w:fill="auto"/>
            <w:vAlign w:val="center"/>
          </w:tcPr>
          <w:p w14:paraId="5ED8F2D1">
            <w:pPr>
              <w:pStyle w:val="230"/>
              <w:ind w:firstLine="0" w:firstLineChars="0"/>
              <w:jc w:val="center"/>
              <w:rPr>
                <w:rFonts w:ascii="Times New Roman" w:eastAsiaTheme="minorEastAsia"/>
                <w:sz w:val="18"/>
                <w:szCs w:val="18"/>
              </w:rPr>
            </w:pPr>
            <w:r>
              <w:rPr>
                <w:rFonts w:ascii="Times New Roman" w:eastAsiaTheme="minorEastAsia"/>
                <w:sz w:val="18"/>
                <w:szCs w:val="18"/>
              </w:rPr>
              <w:t>B5-13</w:t>
            </w:r>
            <w:r>
              <w:rPr>
                <w:rFonts w:hint="eastAsia" w:ascii="Times New Roman" w:eastAsiaTheme="minorEastAsia"/>
                <w:sz w:val="18"/>
                <w:szCs w:val="18"/>
              </w:rPr>
              <w:t>培养基</w:t>
            </w:r>
          </w:p>
        </w:tc>
        <w:tc>
          <w:tcPr>
            <w:tcW w:w="1677" w:type="dxa"/>
            <w:tcBorders>
              <w:top w:val="single" w:color="auto" w:sz="8" w:space="0"/>
            </w:tcBorders>
            <w:shd w:val="clear" w:color="auto" w:fill="auto"/>
            <w:vAlign w:val="center"/>
          </w:tcPr>
          <w:p w14:paraId="3512B0A0">
            <w:pPr>
              <w:pStyle w:val="230"/>
              <w:ind w:firstLine="0" w:firstLineChars="0"/>
              <w:jc w:val="center"/>
              <w:rPr>
                <w:rFonts w:ascii="Times New Roman" w:eastAsiaTheme="minorEastAsia"/>
                <w:sz w:val="18"/>
                <w:szCs w:val="18"/>
              </w:rPr>
            </w:pPr>
            <w:r>
              <w:rPr>
                <w:rFonts w:ascii="Times New Roman" w:eastAsiaTheme="minorEastAsia"/>
                <w:sz w:val="18"/>
                <w:szCs w:val="18"/>
              </w:rPr>
              <w:t>3.21</w:t>
            </w:r>
          </w:p>
        </w:tc>
        <w:tc>
          <w:tcPr>
            <w:tcW w:w="1871" w:type="dxa"/>
            <w:tcBorders>
              <w:top w:val="single" w:color="auto" w:sz="8" w:space="0"/>
            </w:tcBorders>
            <w:shd w:val="clear" w:color="auto" w:fill="auto"/>
            <w:vAlign w:val="center"/>
          </w:tcPr>
          <w:p w14:paraId="14D50577">
            <w:pPr>
              <w:pStyle w:val="230"/>
              <w:ind w:firstLine="0" w:firstLineChars="0"/>
              <w:jc w:val="center"/>
              <w:rPr>
                <w:rFonts w:ascii="Times New Roman" w:eastAsiaTheme="minorEastAsia"/>
                <w:sz w:val="18"/>
                <w:szCs w:val="18"/>
              </w:rPr>
            </w:pPr>
            <w:r>
              <w:rPr>
                <w:rFonts w:ascii="Times New Roman" w:eastAsiaTheme="minorEastAsia"/>
                <w:sz w:val="18"/>
                <w:szCs w:val="18"/>
              </w:rPr>
              <w:t>130.00</w:t>
            </w:r>
          </w:p>
        </w:tc>
        <w:tc>
          <w:tcPr>
            <w:tcW w:w="1871" w:type="dxa"/>
            <w:tcBorders>
              <w:top w:val="single" w:color="auto" w:sz="8" w:space="0"/>
            </w:tcBorders>
            <w:shd w:val="clear" w:color="auto" w:fill="auto"/>
            <w:vAlign w:val="center"/>
          </w:tcPr>
          <w:p w14:paraId="223314E4">
            <w:pPr>
              <w:pStyle w:val="230"/>
              <w:ind w:firstLine="0" w:firstLineChars="0"/>
              <w:jc w:val="center"/>
              <w:rPr>
                <w:rFonts w:ascii="Times New Roman" w:eastAsiaTheme="minorEastAsia"/>
                <w:sz w:val="18"/>
                <w:szCs w:val="18"/>
              </w:rPr>
            </w:pPr>
            <w:r>
              <w:rPr>
                <w:rFonts w:ascii="Times New Roman" w:eastAsiaTheme="minorEastAsia"/>
                <w:sz w:val="18"/>
                <w:szCs w:val="18"/>
              </w:rPr>
              <w:t>0.00</w:t>
            </w:r>
          </w:p>
        </w:tc>
        <w:tc>
          <w:tcPr>
            <w:tcW w:w="1871" w:type="dxa"/>
            <w:vMerge w:val="restart"/>
            <w:tcBorders>
              <w:top w:val="single" w:color="auto" w:sz="8" w:space="0"/>
            </w:tcBorders>
            <w:shd w:val="clear" w:color="auto" w:fill="auto"/>
            <w:vAlign w:val="center"/>
          </w:tcPr>
          <w:p w14:paraId="7B713199">
            <w:pPr>
              <w:pStyle w:val="230"/>
              <w:ind w:firstLine="0" w:firstLineChars="0"/>
              <w:jc w:val="center"/>
              <w:rPr>
                <w:rFonts w:ascii="Times New Roman" w:eastAsiaTheme="minorEastAsia"/>
                <w:sz w:val="18"/>
                <w:szCs w:val="18"/>
              </w:rPr>
            </w:pPr>
            <w:r>
              <w:rPr>
                <w:rFonts w:ascii="Times New Roman" w:eastAsiaTheme="minorEastAsia"/>
                <w:sz w:val="18"/>
                <w:szCs w:val="18"/>
              </w:rPr>
              <w:t>5.8~6.0</w:t>
            </w:r>
          </w:p>
        </w:tc>
      </w:tr>
      <w:tr w14:paraId="3627EC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97" w:hRule="exact"/>
        </w:trPr>
        <w:tc>
          <w:tcPr>
            <w:tcW w:w="2065" w:type="dxa"/>
            <w:shd w:val="clear" w:color="auto" w:fill="auto"/>
            <w:vAlign w:val="center"/>
          </w:tcPr>
          <w:p w14:paraId="36AB8904">
            <w:pPr>
              <w:pStyle w:val="230"/>
              <w:ind w:firstLine="0" w:firstLineChars="0"/>
              <w:jc w:val="center"/>
              <w:rPr>
                <w:rFonts w:ascii="Times New Roman" w:eastAsiaTheme="minorEastAsia"/>
                <w:sz w:val="18"/>
                <w:szCs w:val="18"/>
              </w:rPr>
            </w:pPr>
            <w:r>
              <w:rPr>
                <w:rFonts w:ascii="Times New Roman" w:eastAsiaTheme="minorEastAsia"/>
                <w:sz w:val="18"/>
                <w:szCs w:val="18"/>
              </w:rPr>
              <w:t>NLN-13</w:t>
            </w:r>
            <w:r>
              <w:rPr>
                <w:rFonts w:hint="eastAsia" w:ascii="Times New Roman" w:eastAsiaTheme="minorEastAsia"/>
                <w:sz w:val="18"/>
                <w:szCs w:val="18"/>
              </w:rPr>
              <w:t>培养基</w:t>
            </w:r>
          </w:p>
        </w:tc>
        <w:tc>
          <w:tcPr>
            <w:tcW w:w="1677" w:type="dxa"/>
            <w:shd w:val="clear" w:color="auto" w:fill="auto"/>
            <w:vAlign w:val="center"/>
          </w:tcPr>
          <w:p w14:paraId="763A8EE1">
            <w:pPr>
              <w:pStyle w:val="230"/>
              <w:ind w:firstLine="0" w:firstLineChars="0"/>
              <w:jc w:val="center"/>
              <w:rPr>
                <w:rFonts w:ascii="Times New Roman" w:eastAsiaTheme="minorEastAsia"/>
                <w:sz w:val="18"/>
                <w:szCs w:val="18"/>
              </w:rPr>
            </w:pPr>
            <w:r>
              <w:rPr>
                <w:rFonts w:ascii="Times New Roman" w:eastAsiaTheme="minorEastAsia"/>
                <w:sz w:val="18"/>
                <w:szCs w:val="18"/>
              </w:rPr>
              <w:t>1.77</w:t>
            </w:r>
          </w:p>
        </w:tc>
        <w:tc>
          <w:tcPr>
            <w:tcW w:w="1871" w:type="dxa"/>
            <w:shd w:val="clear" w:color="auto" w:fill="auto"/>
            <w:vAlign w:val="center"/>
          </w:tcPr>
          <w:p w14:paraId="56C30BC5">
            <w:pPr>
              <w:pStyle w:val="230"/>
              <w:ind w:firstLine="0" w:firstLineChars="0"/>
              <w:jc w:val="center"/>
              <w:rPr>
                <w:rFonts w:ascii="Times New Roman" w:eastAsiaTheme="minorEastAsia"/>
                <w:sz w:val="18"/>
                <w:szCs w:val="18"/>
              </w:rPr>
            </w:pPr>
            <w:r>
              <w:rPr>
                <w:rFonts w:ascii="Times New Roman" w:eastAsiaTheme="minorEastAsia"/>
                <w:sz w:val="18"/>
                <w:szCs w:val="18"/>
              </w:rPr>
              <w:t>130.00</w:t>
            </w:r>
          </w:p>
        </w:tc>
        <w:tc>
          <w:tcPr>
            <w:tcW w:w="1871" w:type="dxa"/>
            <w:shd w:val="clear" w:color="auto" w:fill="auto"/>
            <w:vAlign w:val="center"/>
          </w:tcPr>
          <w:p w14:paraId="696A0DB6">
            <w:pPr>
              <w:pStyle w:val="230"/>
              <w:ind w:firstLine="0" w:firstLineChars="0"/>
              <w:jc w:val="center"/>
              <w:rPr>
                <w:rFonts w:ascii="Times New Roman" w:eastAsiaTheme="minorEastAsia"/>
                <w:sz w:val="18"/>
                <w:szCs w:val="18"/>
              </w:rPr>
            </w:pPr>
            <w:r>
              <w:rPr>
                <w:rFonts w:ascii="Times New Roman" w:eastAsiaTheme="minorEastAsia"/>
                <w:sz w:val="18"/>
                <w:szCs w:val="18"/>
              </w:rPr>
              <w:t>0.00</w:t>
            </w:r>
          </w:p>
        </w:tc>
        <w:tc>
          <w:tcPr>
            <w:tcW w:w="1871" w:type="dxa"/>
            <w:vMerge w:val="continue"/>
            <w:shd w:val="clear" w:color="auto" w:fill="auto"/>
            <w:vAlign w:val="center"/>
          </w:tcPr>
          <w:p w14:paraId="180389CB">
            <w:pPr>
              <w:pStyle w:val="230"/>
              <w:ind w:firstLine="360"/>
              <w:jc w:val="center"/>
              <w:rPr>
                <w:rFonts w:ascii="Times New Roman" w:eastAsiaTheme="minorEastAsia"/>
                <w:sz w:val="18"/>
                <w:szCs w:val="18"/>
              </w:rPr>
            </w:pPr>
          </w:p>
        </w:tc>
      </w:tr>
      <w:tr w14:paraId="6EEB69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97" w:hRule="exact"/>
        </w:trPr>
        <w:tc>
          <w:tcPr>
            <w:tcW w:w="2065" w:type="dxa"/>
            <w:shd w:val="clear" w:color="auto" w:fill="auto"/>
            <w:vAlign w:val="center"/>
          </w:tcPr>
          <w:p w14:paraId="6B7FD21B">
            <w:pPr>
              <w:pStyle w:val="230"/>
              <w:ind w:firstLine="0" w:firstLineChars="0"/>
              <w:jc w:val="center"/>
              <w:rPr>
                <w:rFonts w:ascii="Times New Roman" w:eastAsiaTheme="minorEastAsia"/>
                <w:sz w:val="18"/>
                <w:szCs w:val="18"/>
              </w:rPr>
            </w:pPr>
            <w:r>
              <w:rPr>
                <w:rFonts w:ascii="Times New Roman" w:eastAsiaTheme="minorEastAsia"/>
                <w:sz w:val="18"/>
                <w:szCs w:val="18"/>
              </w:rPr>
              <w:t>B5</w:t>
            </w:r>
            <w:r>
              <w:rPr>
                <w:rFonts w:hint="eastAsia" w:ascii="Times New Roman" w:eastAsiaTheme="minorEastAsia"/>
                <w:sz w:val="18"/>
                <w:szCs w:val="18"/>
              </w:rPr>
              <w:t>固体培养基</w:t>
            </w:r>
          </w:p>
        </w:tc>
        <w:tc>
          <w:tcPr>
            <w:tcW w:w="1677" w:type="dxa"/>
            <w:shd w:val="clear" w:color="auto" w:fill="auto"/>
            <w:vAlign w:val="center"/>
          </w:tcPr>
          <w:p w14:paraId="0D55AD7D">
            <w:pPr>
              <w:pStyle w:val="230"/>
              <w:ind w:firstLine="0" w:firstLineChars="0"/>
              <w:jc w:val="center"/>
              <w:rPr>
                <w:rFonts w:ascii="Times New Roman" w:eastAsiaTheme="minorEastAsia"/>
                <w:sz w:val="18"/>
                <w:szCs w:val="18"/>
              </w:rPr>
            </w:pPr>
            <w:r>
              <w:rPr>
                <w:rFonts w:ascii="Times New Roman" w:eastAsiaTheme="minorEastAsia"/>
                <w:sz w:val="18"/>
                <w:szCs w:val="18"/>
              </w:rPr>
              <w:t>3.21</w:t>
            </w:r>
          </w:p>
        </w:tc>
        <w:tc>
          <w:tcPr>
            <w:tcW w:w="1871" w:type="dxa"/>
            <w:shd w:val="clear" w:color="auto" w:fill="auto"/>
            <w:vAlign w:val="center"/>
          </w:tcPr>
          <w:p w14:paraId="4E5DF260">
            <w:pPr>
              <w:pStyle w:val="230"/>
              <w:ind w:firstLine="0" w:firstLineChars="0"/>
              <w:jc w:val="center"/>
              <w:rPr>
                <w:rFonts w:ascii="Times New Roman" w:eastAsiaTheme="minorEastAsia"/>
                <w:sz w:val="18"/>
                <w:szCs w:val="18"/>
              </w:rPr>
            </w:pPr>
            <w:r>
              <w:rPr>
                <w:rFonts w:ascii="Times New Roman" w:eastAsiaTheme="minorEastAsia"/>
                <w:sz w:val="18"/>
                <w:szCs w:val="18"/>
              </w:rPr>
              <w:t>20.00</w:t>
            </w:r>
          </w:p>
        </w:tc>
        <w:tc>
          <w:tcPr>
            <w:tcW w:w="1871" w:type="dxa"/>
            <w:shd w:val="clear" w:color="auto" w:fill="auto"/>
            <w:vAlign w:val="center"/>
          </w:tcPr>
          <w:p w14:paraId="489A2C88">
            <w:pPr>
              <w:pStyle w:val="230"/>
              <w:ind w:firstLine="0" w:firstLineChars="0"/>
              <w:jc w:val="center"/>
              <w:rPr>
                <w:rFonts w:ascii="Times New Roman" w:eastAsiaTheme="minorEastAsia"/>
                <w:sz w:val="18"/>
                <w:szCs w:val="18"/>
              </w:rPr>
            </w:pPr>
            <w:r>
              <w:rPr>
                <w:rFonts w:ascii="Times New Roman" w:eastAsiaTheme="minorEastAsia"/>
                <w:sz w:val="18"/>
                <w:szCs w:val="18"/>
              </w:rPr>
              <w:t>12.00</w:t>
            </w:r>
          </w:p>
        </w:tc>
        <w:tc>
          <w:tcPr>
            <w:tcW w:w="1871" w:type="dxa"/>
            <w:vMerge w:val="continue"/>
            <w:shd w:val="clear" w:color="auto" w:fill="auto"/>
            <w:vAlign w:val="center"/>
          </w:tcPr>
          <w:p w14:paraId="6E5D4E70">
            <w:pPr>
              <w:pStyle w:val="230"/>
              <w:ind w:firstLine="360"/>
              <w:jc w:val="center"/>
              <w:rPr>
                <w:rFonts w:ascii="Times New Roman" w:eastAsiaTheme="minorEastAsia"/>
                <w:sz w:val="18"/>
                <w:szCs w:val="18"/>
              </w:rPr>
            </w:pPr>
          </w:p>
        </w:tc>
      </w:tr>
      <w:tr w14:paraId="2935B5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rHeight w:val="397" w:hRule="exact"/>
        </w:trPr>
        <w:tc>
          <w:tcPr>
            <w:tcW w:w="2065" w:type="dxa"/>
            <w:shd w:val="clear" w:color="auto" w:fill="auto"/>
            <w:vAlign w:val="center"/>
          </w:tcPr>
          <w:p w14:paraId="55630B9C">
            <w:pPr>
              <w:pStyle w:val="230"/>
              <w:ind w:firstLine="0" w:firstLineChars="0"/>
              <w:jc w:val="center"/>
              <w:rPr>
                <w:rFonts w:ascii="Times New Roman" w:eastAsiaTheme="minorEastAsia"/>
                <w:sz w:val="18"/>
                <w:szCs w:val="18"/>
              </w:rPr>
            </w:pPr>
            <w:r>
              <w:rPr>
                <w:rFonts w:ascii="Times New Roman" w:eastAsiaTheme="minorEastAsia"/>
                <w:sz w:val="18"/>
                <w:szCs w:val="18"/>
              </w:rPr>
              <w:t>MS</w:t>
            </w:r>
            <w:r>
              <w:rPr>
                <w:rFonts w:hint="eastAsia" w:ascii="Times New Roman" w:eastAsiaTheme="minorEastAsia"/>
                <w:sz w:val="18"/>
                <w:szCs w:val="18"/>
              </w:rPr>
              <w:t>固体培养基</w:t>
            </w:r>
          </w:p>
        </w:tc>
        <w:tc>
          <w:tcPr>
            <w:tcW w:w="1677" w:type="dxa"/>
            <w:shd w:val="clear" w:color="auto" w:fill="auto"/>
            <w:vAlign w:val="center"/>
          </w:tcPr>
          <w:p w14:paraId="3C76CE22">
            <w:pPr>
              <w:pStyle w:val="230"/>
              <w:ind w:firstLine="0" w:firstLineChars="0"/>
              <w:jc w:val="center"/>
              <w:rPr>
                <w:rFonts w:ascii="Times New Roman" w:eastAsiaTheme="minorEastAsia"/>
                <w:sz w:val="18"/>
                <w:szCs w:val="18"/>
              </w:rPr>
            </w:pPr>
            <w:r>
              <w:rPr>
                <w:rFonts w:ascii="Times New Roman" w:eastAsiaTheme="minorEastAsia"/>
                <w:sz w:val="18"/>
                <w:szCs w:val="18"/>
              </w:rPr>
              <w:t>4.43</w:t>
            </w:r>
          </w:p>
        </w:tc>
        <w:tc>
          <w:tcPr>
            <w:tcW w:w="1871" w:type="dxa"/>
            <w:shd w:val="clear" w:color="auto" w:fill="auto"/>
            <w:vAlign w:val="center"/>
          </w:tcPr>
          <w:p w14:paraId="3B647C63">
            <w:pPr>
              <w:pStyle w:val="230"/>
              <w:ind w:firstLine="0" w:firstLineChars="0"/>
              <w:jc w:val="center"/>
              <w:rPr>
                <w:rFonts w:ascii="Times New Roman" w:eastAsiaTheme="minorEastAsia"/>
                <w:sz w:val="18"/>
                <w:szCs w:val="18"/>
              </w:rPr>
            </w:pPr>
            <w:r>
              <w:rPr>
                <w:rFonts w:ascii="Times New Roman" w:eastAsiaTheme="minorEastAsia"/>
                <w:sz w:val="18"/>
                <w:szCs w:val="18"/>
              </w:rPr>
              <w:t>30.00</w:t>
            </w:r>
          </w:p>
        </w:tc>
        <w:tc>
          <w:tcPr>
            <w:tcW w:w="1871" w:type="dxa"/>
            <w:shd w:val="clear" w:color="auto" w:fill="auto"/>
            <w:vAlign w:val="center"/>
          </w:tcPr>
          <w:p w14:paraId="5AF50614">
            <w:pPr>
              <w:pStyle w:val="230"/>
              <w:ind w:firstLine="0" w:firstLineChars="0"/>
              <w:jc w:val="center"/>
              <w:rPr>
                <w:rFonts w:ascii="Times New Roman" w:eastAsiaTheme="minorEastAsia"/>
                <w:sz w:val="18"/>
                <w:szCs w:val="18"/>
              </w:rPr>
            </w:pPr>
            <w:r>
              <w:rPr>
                <w:rFonts w:ascii="Times New Roman" w:eastAsiaTheme="minorEastAsia"/>
                <w:sz w:val="18"/>
                <w:szCs w:val="18"/>
              </w:rPr>
              <w:t>12.00</w:t>
            </w:r>
          </w:p>
        </w:tc>
        <w:tc>
          <w:tcPr>
            <w:tcW w:w="1871" w:type="dxa"/>
            <w:vMerge w:val="continue"/>
            <w:shd w:val="clear" w:color="auto" w:fill="auto"/>
            <w:vAlign w:val="center"/>
          </w:tcPr>
          <w:p w14:paraId="0D7E96EF">
            <w:pPr>
              <w:pStyle w:val="230"/>
              <w:ind w:firstLine="360"/>
              <w:jc w:val="center"/>
              <w:rPr>
                <w:rFonts w:ascii="Times New Roman" w:eastAsiaTheme="minorEastAsia"/>
                <w:sz w:val="18"/>
                <w:szCs w:val="18"/>
              </w:rPr>
            </w:pPr>
          </w:p>
        </w:tc>
      </w:tr>
      <w:bookmarkEnd w:id="40"/>
    </w:tbl>
    <w:p w14:paraId="7B989D40">
      <w:pPr>
        <w:pStyle w:val="56"/>
        <w:ind w:firstLine="0" w:firstLineChars="0"/>
        <w:jc w:val="center"/>
      </w:pPr>
      <w:bookmarkStart w:id="41" w:name="BookMark8"/>
      <w:r>
        <w:rPr>
          <w:rFonts w:hint="eastAsia"/>
        </w:rPr>
        <w:drawing>
          <wp:inline distT="0" distB="0" distL="0" distR="0">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41"/>
    </w:p>
    <w:sectPr>
      <w:pgSz w:w="11906" w:h="16838"/>
      <w:pgMar w:top="1928" w:right="1134" w:bottom="1134" w:left="1134" w:header="1418" w:footer="1134" w:gutter="284"/>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等线">
    <w:altName w:val="微软雅黑"/>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1BE02">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49038">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C9592">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CE9EA">
    <w:pPr>
      <w:pStyle w:val="52"/>
    </w:pPr>
    <w:r>
      <w:fldChar w:fldCharType="begin"/>
    </w:r>
    <w:r>
      <w:instrText xml:space="preserve">PAGE   \* MERGEFORMAT</w:instrText>
    </w:r>
    <w:r>
      <w:fldChar w:fldCharType="separate"/>
    </w:r>
    <w:r>
      <w:rPr>
        <w:lang w:val="zh-CN"/>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1C1DF">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AA309">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AA8AD">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85063">
    <w:pPr>
      <w:pStyle w:val="61"/>
    </w:pPr>
    <w:r>
      <w:fldChar w:fldCharType="begin"/>
    </w:r>
    <w:r>
      <w:instrText xml:space="preserve"> STYLEREF  标准文件_文件编号  \* MERGEFORMAT </w:instrText>
    </w:r>
    <w:r>
      <w:fldChar w:fldCharType="separate"/>
    </w:r>
    <w:r>
      <w:t>T/QHNX XXXX—2025</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425EE">
    <w:pPr>
      <w:pStyle w:val="18"/>
      <w:jc w:val="right"/>
    </w:pPr>
    <w:r>
      <w:fldChar w:fldCharType="begin"/>
    </w:r>
    <w:r>
      <w:instrText xml:space="preserve"> STYLEREF  标准文件_文件编号  \* MERGEFORMAT </w:instrText>
    </w:r>
    <w:r>
      <w:fldChar w:fldCharType="separate"/>
    </w:r>
    <w:r>
      <w:t>T/QHNX XXXX—2025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2977"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16C"/>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16C"/>
    <w:rsid w:val="000622D4"/>
    <w:rsid w:val="0006357D"/>
    <w:rsid w:val="00067F1E"/>
    <w:rsid w:val="00071608"/>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6A9"/>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1B82"/>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0FC2"/>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A0"/>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0F3F"/>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370FF"/>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0EEA"/>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6E6B"/>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749F1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0" w:name="toc 8"/>
    <w:lsdException w:uiPriority="0" w:name="toc 9"/>
    <w:lsdException w:unhideWhenUsed="0" w:uiPriority="0" w:semiHidden="0" w:name="Normal Indent"/>
    <w:lsdException w:qFormat="1" w:unhideWhenUsed="0" w:uiPriority="0"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35" w:name="caption"/>
    <w:lsdException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uiPriority w:val="39"/>
    <w:pPr>
      <w:tabs>
        <w:tab w:val="right" w:leader="dot" w:pos="9344"/>
      </w:tabs>
      <w:spacing w:line="300" w:lineRule="exact"/>
      <w:ind w:left="1259"/>
    </w:pPr>
    <w:rPr>
      <w:rFonts w:ascii="宋体"/>
    </w:rPr>
  </w:style>
  <w:style w:type="paragraph" w:styleId="12">
    <w:name w:val="Normal Indent"/>
    <w:basedOn w:val="1"/>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uiPriority w:val="39"/>
    <w:pPr>
      <w:ind w:left="839"/>
    </w:pPr>
    <w:rPr>
      <w:rFonts w:ascii="宋体"/>
    </w:rPr>
  </w:style>
  <w:style w:type="paragraph" w:styleId="15">
    <w:name w:val="toc 3"/>
    <w:basedOn w:val="1"/>
    <w:next w:val="1"/>
    <w:autoRedefine/>
    <w:unhideWhenUsed/>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uiPriority w:val="39"/>
    <w:rPr>
      <w:rFonts w:ascii="宋体"/>
    </w:rPr>
  </w:style>
  <w:style w:type="paragraph" w:styleId="20">
    <w:name w:val="toc 4"/>
    <w:basedOn w:val="1"/>
    <w:next w:val="1"/>
    <w:autoRedefine/>
    <w:unhideWhenUsed/>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uiPriority w:val="39"/>
    <w:pPr>
      <w:spacing w:line="300" w:lineRule="exact"/>
      <w:ind w:left="1049"/>
    </w:pPr>
    <w:rPr>
      <w:rFonts w:ascii="宋体"/>
    </w:rPr>
  </w:style>
  <w:style w:type="paragraph" w:styleId="23">
    <w:name w:val="table of figures"/>
    <w:basedOn w:val="1"/>
    <w:next w:val="1"/>
    <w:semiHidden/>
    <w:uiPriority w:val="0"/>
    <w:pPr>
      <w:adjustRightInd/>
      <w:spacing w:line="240" w:lineRule="auto"/>
      <w:jc w:val="left"/>
    </w:pPr>
    <w:rPr>
      <w:szCs w:val="24"/>
    </w:rPr>
  </w:style>
  <w:style w:type="paragraph" w:styleId="24">
    <w:name w:val="toc 2"/>
    <w:basedOn w:val="1"/>
    <w:next w:val="1"/>
    <w:autoRedefine/>
    <w:unhideWhenUsed/>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uiPriority w:val="0"/>
    <w:rPr>
      <w:b/>
      <w:bCs/>
      <w:kern w:val="2"/>
      <w:sz w:val="32"/>
      <w:szCs w:val="32"/>
    </w:rPr>
  </w:style>
  <w:style w:type="character" w:customStyle="1" w:styleId="37">
    <w:name w:val="标题 4 字符"/>
    <w:link w:val="5"/>
    <w:uiPriority w:val="0"/>
    <w:rPr>
      <w:rFonts w:ascii="Arial" w:hAnsi="Arial" w:eastAsia="黑体"/>
      <w:b/>
      <w:bCs/>
      <w:kern w:val="2"/>
      <w:sz w:val="28"/>
      <w:szCs w:val="28"/>
    </w:rPr>
  </w:style>
  <w:style w:type="character" w:customStyle="1" w:styleId="38">
    <w:name w:val="标题 5 字符"/>
    <w:link w:val="6"/>
    <w:uiPriority w:val="0"/>
    <w:rPr>
      <w:b/>
      <w:bCs/>
      <w:kern w:val="2"/>
      <w:sz w:val="28"/>
      <w:szCs w:val="28"/>
    </w:rPr>
  </w:style>
  <w:style w:type="character" w:customStyle="1" w:styleId="39">
    <w:name w:val="标题 6 字符"/>
    <w:link w:val="7"/>
    <w:uiPriority w:val="0"/>
    <w:rPr>
      <w:rFonts w:ascii="Arial" w:hAnsi="Arial" w:eastAsia="黑体"/>
      <w:b/>
      <w:bCs/>
      <w:kern w:val="2"/>
      <w:sz w:val="24"/>
      <w:szCs w:val="24"/>
    </w:rPr>
  </w:style>
  <w:style w:type="character" w:customStyle="1" w:styleId="40">
    <w:name w:val="标题 7 字符"/>
    <w:link w:val="8"/>
    <w:uiPriority w:val="0"/>
    <w:rPr>
      <w:b/>
      <w:bCs/>
      <w:kern w:val="2"/>
      <w:sz w:val="24"/>
      <w:szCs w:val="24"/>
    </w:rPr>
  </w:style>
  <w:style w:type="character" w:customStyle="1" w:styleId="41">
    <w:name w:val="标题 8 字符"/>
    <w:link w:val="9"/>
    <w:uiPriority w:val="0"/>
    <w:rPr>
      <w:rFonts w:ascii="Arial" w:hAnsi="Arial" w:eastAsia="黑体"/>
      <w:kern w:val="2"/>
      <w:sz w:val="24"/>
      <w:szCs w:val="24"/>
    </w:rPr>
  </w:style>
  <w:style w:type="character" w:customStyle="1" w:styleId="42">
    <w:name w:val="标题 9 字符"/>
    <w:link w:val="10"/>
    <w:uiPriority w:val="0"/>
    <w:rPr>
      <w:rFonts w:ascii="Arial" w:hAnsi="Arial" w:eastAsia="黑体"/>
      <w:kern w:val="2"/>
      <w:sz w:val="21"/>
      <w:szCs w:val="21"/>
    </w:rPr>
  </w:style>
  <w:style w:type="character" w:customStyle="1" w:styleId="43">
    <w:name w:val="页眉 字符"/>
    <w:link w:val="18"/>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Subtle Reference"/>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uiPriority w:val="0"/>
    <w:pPr>
      <w:outlineLvl w:val="6"/>
    </w:pPr>
  </w:style>
  <w:style w:type="paragraph" w:customStyle="1" w:styleId="134">
    <w:name w:val="附录性质"/>
    <w:basedOn w:val="1"/>
    <w:uiPriority w:val="0"/>
    <w:pPr>
      <w:widowControl/>
      <w:adjustRightInd/>
      <w:jc w:val="center"/>
    </w:pPr>
    <w:rPr>
      <w:rFonts w:ascii="黑体" w:eastAsia="黑体"/>
    </w:rPr>
  </w:style>
  <w:style w:type="paragraph" w:customStyle="1" w:styleId="135">
    <w:name w:val="附录一级无标题条"/>
    <w:basedOn w:val="87"/>
    <w:next w:val="56"/>
    <w:uiPriority w:val="0"/>
    <w:pPr>
      <w:autoSpaceDN w:val="0"/>
      <w:outlineLvl w:val="2"/>
    </w:pPr>
    <w:rPr>
      <w:rFonts w:ascii="宋体" w:hAnsi="宋体" w:eastAsia="宋体"/>
    </w:rPr>
  </w:style>
  <w:style w:type="character" w:customStyle="1" w:styleId="136">
    <w:name w:val="个人答复风格"/>
    <w:uiPriority w:val="0"/>
    <w:rPr>
      <w:rFonts w:ascii="Arial" w:hAnsi="Arial" w:eastAsia="宋体" w:cs="Arial"/>
      <w:color w:val="auto"/>
      <w:spacing w:val="0"/>
      <w:sz w:val="20"/>
    </w:rPr>
  </w:style>
  <w:style w:type="character" w:customStyle="1" w:styleId="137">
    <w:name w:val="个人撰写风格"/>
    <w:uiPriority w:val="0"/>
    <w:rPr>
      <w:rFonts w:ascii="Arial" w:hAnsi="Arial" w:eastAsia="宋体" w:cs="Arial"/>
      <w:color w:val="auto"/>
      <w:spacing w:val="0"/>
      <w:sz w:val="20"/>
    </w:rPr>
  </w:style>
  <w:style w:type="paragraph" w:customStyle="1" w:styleId="138">
    <w:name w:val="脚注后续"/>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uiPriority w:val="0"/>
    <w:pPr>
      <w:tabs>
        <w:tab w:val="left" w:pos="840"/>
      </w:tabs>
    </w:pPr>
  </w:style>
  <w:style w:type="paragraph" w:customStyle="1" w:styleId="141">
    <w:name w:val="目次、索引正文"/>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uiPriority w:val="0"/>
    <w:pPr>
      <w:adjustRightInd/>
      <w:spacing w:line="240" w:lineRule="auto"/>
      <w:jc w:val="left"/>
    </w:pPr>
    <w:rPr>
      <w:bCs/>
      <w:iCs/>
    </w:rPr>
  </w:style>
  <w:style w:type="paragraph" w:customStyle="1" w:styleId="143">
    <w:name w:val="目录 31"/>
    <w:basedOn w:val="1"/>
    <w:next w:val="1"/>
    <w:autoRedefine/>
    <w:semiHidden/>
    <w:uiPriority w:val="0"/>
    <w:pPr>
      <w:spacing w:line="240" w:lineRule="auto"/>
    </w:pPr>
    <w:rPr>
      <w:rFonts w:ascii="宋体" w:hAnsi="宋体"/>
      <w:iCs/>
    </w:rPr>
  </w:style>
  <w:style w:type="paragraph" w:customStyle="1" w:styleId="144">
    <w:name w:val="目录 41"/>
    <w:basedOn w:val="1"/>
    <w:next w:val="1"/>
    <w:autoRedefine/>
    <w:semiHidden/>
    <w:uiPriority w:val="0"/>
    <w:pPr>
      <w:adjustRightInd/>
      <w:spacing w:line="240" w:lineRule="auto"/>
      <w:jc w:val="left"/>
    </w:pPr>
  </w:style>
  <w:style w:type="paragraph" w:customStyle="1" w:styleId="145">
    <w:name w:val="目录 51"/>
    <w:basedOn w:val="1"/>
    <w:next w:val="1"/>
    <w:autoRedefine/>
    <w:semiHidden/>
    <w:uiPriority w:val="0"/>
    <w:pPr>
      <w:spacing w:line="240" w:lineRule="auto"/>
    </w:pPr>
    <w:rPr>
      <w:rFonts w:ascii="宋体" w:hAnsi="宋体"/>
    </w:rPr>
  </w:style>
  <w:style w:type="paragraph" w:customStyle="1" w:styleId="146">
    <w:name w:val="目录 61"/>
    <w:basedOn w:val="1"/>
    <w:next w:val="1"/>
    <w:autoRedefine/>
    <w:semiHidden/>
    <w:uiPriority w:val="0"/>
    <w:pPr>
      <w:adjustRightInd/>
      <w:spacing w:line="240" w:lineRule="auto"/>
      <w:jc w:val="left"/>
    </w:pPr>
  </w:style>
  <w:style w:type="paragraph" w:customStyle="1" w:styleId="147">
    <w:name w:val="目录 71"/>
    <w:basedOn w:val="146"/>
    <w:autoRedefine/>
    <w:semiHidden/>
    <w:uiPriority w:val="0"/>
    <w:pPr>
      <w:ind w:left="1260"/>
    </w:pPr>
  </w:style>
  <w:style w:type="paragraph" w:customStyle="1" w:styleId="148">
    <w:name w:val="目录 81"/>
    <w:basedOn w:val="147"/>
    <w:autoRedefine/>
    <w:semiHidden/>
    <w:uiPriority w:val="0"/>
    <w:pPr>
      <w:ind w:left="1470"/>
    </w:pPr>
  </w:style>
  <w:style w:type="paragraph" w:customStyle="1" w:styleId="149">
    <w:name w:val="目录 91"/>
    <w:basedOn w:val="148"/>
    <w:autoRedefine/>
    <w:semiHidden/>
    <w:uiPriority w:val="0"/>
    <w:pPr>
      <w:ind w:left="1680"/>
    </w:pPr>
  </w:style>
  <w:style w:type="paragraph" w:customStyle="1" w:styleId="150">
    <w:name w:val="其他标准称谓"/>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uiPriority w:val="0"/>
    <w:pPr>
      <w:framePr w:wrap="around"/>
      <w:spacing w:line="0" w:lineRule="atLeast"/>
    </w:pPr>
    <w:rPr>
      <w:rFonts w:ascii="黑体" w:eastAsia="黑体"/>
      <w:b w:val="0"/>
    </w:rPr>
  </w:style>
  <w:style w:type="paragraph" w:customStyle="1" w:styleId="152">
    <w:name w:val="前言标题"/>
    <w:next w:val="1"/>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uiPriority w:val="0"/>
    <w:pPr>
      <w:numPr>
        <w:ilvl w:val="4"/>
        <w:numId w:val="20"/>
      </w:numPr>
      <w:adjustRightInd/>
      <w:spacing w:line="240" w:lineRule="auto"/>
    </w:pPr>
    <w:rPr>
      <w:rFonts w:ascii="宋体" w:hAnsi="宋体"/>
      <w:szCs w:val="24"/>
    </w:rPr>
  </w:style>
  <w:style w:type="paragraph" w:customStyle="1" w:styleId="154">
    <w:name w:val="实施日期"/>
    <w:basedOn w:val="120"/>
    <w:uiPriority w:val="0"/>
    <w:pPr>
      <w:framePr w:hSpace="0" w:wrap="around" w:xAlign="right"/>
      <w:jc w:val="right"/>
    </w:pPr>
  </w:style>
  <w:style w:type="paragraph" w:customStyle="1" w:styleId="155">
    <w:name w:val="四级无标题条"/>
    <w:basedOn w:val="1"/>
    <w:uiPriority w:val="0"/>
    <w:pPr>
      <w:numPr>
        <w:ilvl w:val="5"/>
        <w:numId w:val="20"/>
      </w:numPr>
      <w:adjustRightInd/>
      <w:spacing w:line="240" w:lineRule="auto"/>
    </w:pPr>
    <w:rPr>
      <w:rFonts w:ascii="宋体" w:hAnsi="宋体"/>
      <w:szCs w:val="24"/>
    </w:rPr>
  </w:style>
  <w:style w:type="paragraph" w:customStyle="1" w:styleId="156">
    <w:name w:val="文献分类号"/>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uiPriority w:val="0"/>
    <w:pPr>
      <w:jc w:val="both"/>
    </w:pPr>
    <w:rPr>
      <w:rFonts w:ascii="宋体" w:hAnsi="宋体" w:eastAsia="宋体" w:cs="Times New Roman"/>
      <w:sz w:val="21"/>
      <w:lang w:val="en-US" w:eastAsia="zh-CN" w:bidi="ar-SA"/>
    </w:rPr>
  </w:style>
  <w:style w:type="paragraph" w:customStyle="1" w:styleId="158">
    <w:name w:val="五级无标题条"/>
    <w:basedOn w:val="1"/>
    <w:uiPriority w:val="0"/>
    <w:pPr>
      <w:numPr>
        <w:ilvl w:val="6"/>
        <w:numId w:val="20"/>
      </w:numPr>
      <w:adjustRightInd/>
    </w:pPr>
    <w:rPr>
      <w:szCs w:val="24"/>
    </w:rPr>
  </w:style>
  <w:style w:type="paragraph" w:customStyle="1" w:styleId="159">
    <w:name w:val="一级无标题条"/>
    <w:basedOn w:val="1"/>
    <w:uiPriority w:val="0"/>
    <w:pPr>
      <w:numPr>
        <w:ilvl w:val="2"/>
        <w:numId w:val="20"/>
      </w:numPr>
      <w:adjustRightInd/>
      <w:spacing w:before="10" w:after="10" w:line="240" w:lineRule="auto"/>
    </w:pPr>
    <w:rPr>
      <w:rFonts w:ascii="宋体" w:hAnsi="宋体"/>
      <w:szCs w:val="24"/>
    </w:rPr>
  </w:style>
  <w:style w:type="paragraph" w:customStyle="1" w:styleId="160">
    <w:name w:val="注:后续"/>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uiPriority w:val="0"/>
    <w:pPr>
      <w:numPr>
        <w:ilvl w:val="0"/>
        <w:numId w:val="23"/>
      </w:numPr>
      <w:ind w:firstLine="0" w:firstLineChars="0"/>
    </w:pPr>
    <w:rPr>
      <w:rFonts w:cs="Arial"/>
      <w:szCs w:val="28"/>
    </w:rPr>
  </w:style>
  <w:style w:type="paragraph" w:customStyle="1" w:styleId="169">
    <w:name w:val="标准文件_小写罗马数字编号列项"/>
    <w:basedOn w:val="56"/>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uiPriority w:val="0"/>
    <w:rPr>
      <w:rFonts w:ascii="宋体" w:hAnsi="Times New Roman" w:eastAsia="宋体" w:cs="Times New Roman"/>
      <w:sz w:val="21"/>
      <w:lang w:val="en-US" w:eastAsia="zh-CN" w:bidi="ar-SA"/>
    </w:rPr>
  </w:style>
  <w:style w:type="paragraph" w:customStyle="1" w:styleId="172">
    <w:name w:val="标准文件_三级项"/>
    <w:basedOn w:val="1"/>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uiPriority w:val="0"/>
    <w:rPr>
      <w:rFonts w:ascii="Times New Roman"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style>
  <w:style w:type="paragraph" w:customStyle="1" w:styleId="189">
    <w:name w:val="标准文件_一级项2"/>
    <w:basedOn w:val="56"/>
    <w:qFormat/>
    <w:uiPriority w:val="0"/>
    <w:pPr>
      <w:numPr>
        <w:ilvl w:val="0"/>
        <w:numId w:val="31"/>
      </w:numPr>
      <w:spacing w:line="300" w:lineRule="exact"/>
      <w:ind w:firstLineChars="0"/>
    </w:p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uiPriority w:val="0"/>
    <w:pPr>
      <w:framePr w:w="3997" w:h="471" w:hRule="exact" w:hSpace="0" w:vSpace="181" w:wrap="around" w:vAnchor="page" w:hAnchor="page" w:x="1419" w:y="14097"/>
    </w:pPr>
  </w:style>
  <w:style w:type="paragraph" w:customStyle="1" w:styleId="194">
    <w:name w:val="其他实施日期"/>
    <w:basedOn w:val="154"/>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frame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uiPriority w:val="0"/>
    <w:rPr>
      <w:rFonts w:ascii="黑体" w:eastAsia="黑体"/>
      <w:spacing w:val="85"/>
      <w:w w:val="100"/>
      <w:position w:val="3"/>
      <w:sz w:val="28"/>
      <w:szCs w:val="28"/>
    </w:rPr>
  </w:style>
  <w:style w:type="paragraph" w:customStyle="1" w:styleId="230">
    <w:name w:val="段"/>
    <w:qFormat/>
    <w:uiPriority w:val="0"/>
    <w:pPr>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glossaryDocument" Target="glossary/document.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3.jpe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36719;&#2021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A49E5F36E194DF891EE759F1CD05DE9"/>
        <w:style w:val=""/>
        <w:category>
          <w:name w:val="常规"/>
          <w:gallery w:val="placeholder"/>
        </w:category>
        <w:types>
          <w:type w:val="bbPlcHdr"/>
        </w:types>
        <w:behaviors>
          <w:behavior w:val="content"/>
        </w:behaviors>
        <w:description w:val=""/>
        <w:guid w:val="{12BBEB60-E7A5-4ABA-9295-C682E0E5C419}"/>
      </w:docPartPr>
      <w:docPartBody>
        <w:p w14:paraId="053118AB">
          <w:pPr>
            <w:pStyle w:val="5"/>
          </w:pPr>
          <w:r>
            <w:rPr>
              <w:rStyle w:val="4"/>
              <w:rFonts w:hint="eastAsia"/>
            </w:rPr>
            <w:t>单击或点击此处输入文字。</w:t>
          </w:r>
        </w:p>
      </w:docPartBody>
    </w:docPart>
    <w:docPart>
      <w:docPartPr>
        <w:name w:val="6B2A1815F1C947998A80AD9E00E5B527"/>
        <w:style w:val=""/>
        <w:category>
          <w:name w:val="常规"/>
          <w:gallery w:val="placeholder"/>
        </w:category>
        <w:types>
          <w:type w:val="bbPlcHdr"/>
        </w:types>
        <w:behaviors>
          <w:behavior w:val="content"/>
        </w:behaviors>
        <w:description w:val=""/>
        <w:guid w:val="{DC34F6A3-229D-4EB8-ACEC-469E03A5A65F}"/>
      </w:docPartPr>
      <w:docPartBody>
        <w:p w14:paraId="59B86812">
          <w:pPr>
            <w:pStyle w:val="6"/>
          </w:pPr>
          <w:r>
            <w:rPr>
              <w:rStyle w:val="4"/>
              <w:rFonts w:hint="eastAsia"/>
            </w:rPr>
            <w:t>选择一项。</w:t>
          </w:r>
        </w:p>
      </w:docPartBody>
    </w:docPart>
    <w:docPart>
      <w:docPartPr>
        <w:name w:val="2A87982BC53E49A2A7E7E45634679A0F"/>
        <w:style w:val=""/>
        <w:category>
          <w:name w:val="常规"/>
          <w:gallery w:val="placeholder"/>
        </w:category>
        <w:types>
          <w:type w:val="bbPlcHdr"/>
        </w:types>
        <w:behaviors>
          <w:behavior w:val="content"/>
        </w:behaviors>
        <w:description w:val=""/>
        <w:guid w:val="{A4FC42D1-D2EA-4998-AAB4-6262A808CCE4}"/>
      </w:docPartPr>
      <w:docPartBody>
        <w:p w14:paraId="4A36AA77">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33A"/>
    <w:rsid w:val="001F4E47"/>
    <w:rsid w:val="002A545D"/>
    <w:rsid w:val="00751355"/>
    <w:rsid w:val="00CA03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sdException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 w:type="paragraph" w:customStyle="1" w:styleId="5">
    <w:name w:val="3A49E5F36E194DF891EE759F1CD05DE9"/>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6B2A1815F1C947998A80AD9E00E5B527"/>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2A87982BC53E49A2A7E7E45634679A0F"/>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0B69FA-797D-4AE4-ABED-F18F61D3C0E4}">
  <ds:schemaRefs/>
</ds:datastoreItem>
</file>

<file path=docProps/app.xml><?xml version="1.0" encoding="utf-8"?>
<Properties xmlns="http://schemas.openxmlformats.org/officeDocument/2006/extended-properties" xmlns:vt="http://schemas.openxmlformats.org/officeDocument/2006/docPropsVTypes">
  <Template>团体标准.dotx</Template>
  <Pages>6</Pages>
  <Words>1927</Words>
  <Characters>2341</Characters>
  <Lines>20</Lines>
  <Paragraphs>5</Paragraphs>
  <TotalTime>32</TotalTime>
  <ScaleCrop>false</ScaleCrop>
  <LinksUpToDate>false</LinksUpToDate>
  <CharactersWithSpaces>2389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2025-12-04T06:41:00Z</dcterms:created>
  <dc:creator>亦昕</dc:creator>
  <cp:lastModifiedBy>傻瓜星星</cp:lastModifiedBy>
  <cp:lastPrinted>2021-02-02T08:22:00Z</cp:lastPrinted>
  <dcterms:modified xsi:type="dcterms:W3CDTF">2025-12-18T07:04:07Z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eyJoZGlkIjoiZDc3ZmIzZjRkNjBjMTkzZWIxMzc5ZTVhYzgxMjRiNDQiLCJ1c2VySWQiOiI0ODkwMTAwNjgifQ==</vt:lpwstr>
  </property>
  <property fmtid="{D5CDD505-2E9C-101B-9397-08002B2CF9AE}" pid="15" name="KSOProductBuildVer">
    <vt:lpwstr>2052-12.1.0.24034</vt:lpwstr>
  </property>
  <property fmtid="{D5CDD505-2E9C-101B-9397-08002B2CF9AE}" pid="16" name="ICV">
    <vt:lpwstr>68B975D4C02F4FAE99F5F7BF2AF221E7_12</vt:lpwstr>
  </property>
</Properties>
</file>