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6D0" w:rsidRDefault="00D746D0">
      <w:pPr>
        <w:pStyle w:val="ad"/>
      </w:pPr>
    </w:p>
    <w:p w:rsidR="00D746D0" w:rsidRDefault="00D746D0">
      <w:pPr>
        <w:pStyle w:val="3"/>
        <w:framePr w:wrap="around"/>
        <w:rPr>
          <w:rFonts w:hint="default"/>
        </w:rPr>
      </w:pPr>
    </w:p>
    <w:p w:rsidR="00D746D0" w:rsidRDefault="00E458C5">
      <w:pPr>
        <w:pStyle w:val="2"/>
        <w:framePr w:wrap="around"/>
        <w:rPr>
          <w:rFonts w:hint="default"/>
        </w:rPr>
      </w:pPr>
      <w:r>
        <w:rPr>
          <w:rFonts w:hint="default"/>
        </w:rPr>
        <w:fldChar w:fldCharType="begin">
          <w:ffData>
            <w:name w:val="StandNo"/>
            <w:enabled/>
            <w:calcOnExit w:val="0"/>
            <w:textInput>
              <w:default w:val="T/XXX XXX—2024"/>
            </w:textInput>
          </w:ffData>
        </w:fldChar>
      </w:r>
      <w:bookmarkStart w:id="0" w:name="StandNo"/>
      <w:r>
        <w:rPr>
          <w:rFonts w:hint="default"/>
        </w:rPr>
        <w:instrText xml:space="preserve"> </w:instrText>
      </w:r>
      <w:r>
        <w:instrText>FORMTEXT</w:instrText>
      </w:r>
      <w:r>
        <w:rPr>
          <w:rFonts w:hint="default"/>
        </w:rPr>
        <w:instrText xml:space="preserve"> </w:instrText>
      </w:r>
      <w:r>
        <w:rPr>
          <w:rFonts w:hint="default"/>
        </w:rPr>
      </w:r>
      <w:r>
        <w:rPr>
          <w:rFonts w:hint="default"/>
        </w:rPr>
        <w:fldChar w:fldCharType="separate"/>
      </w:r>
      <w:r>
        <w:rPr>
          <w:rFonts w:hint="default"/>
        </w:rPr>
        <w:t>T/XXX XXX</w:t>
      </w:r>
      <w:r>
        <w:rPr>
          <w:rFonts w:hint="default"/>
        </w:rPr>
        <w:t>—</w:t>
      </w:r>
      <w:r>
        <w:rPr>
          <w:rFonts w:hint="default"/>
        </w:rPr>
        <w:t>2024</w:t>
      </w:r>
      <w:r>
        <w:rPr>
          <w:rFonts w:hint="default"/>
        </w:rPr>
        <w:fldChar w:fldCharType="end"/>
      </w:r>
      <w:bookmarkEnd w:id="0"/>
    </w:p>
    <w:p w:rsidR="00D746D0" w:rsidRDefault="00E458C5">
      <w:pPr>
        <w:pStyle w:val="af1"/>
        <w:framePr w:wrap="around"/>
        <w:rPr>
          <w:rFonts w:hint="default"/>
        </w:rPr>
      </w:pPr>
      <w:r>
        <w:fldChar w:fldCharType="begin">
          <w:ffData>
            <w:name w:val="ReplaceT"/>
            <w:enabled/>
            <w:calcOnExit w:val="0"/>
            <w:textInput/>
          </w:ffData>
        </w:fldChar>
      </w:r>
      <w:bookmarkStart w:id="1" w:name="ReplaceT"/>
      <w:r>
        <w:instrText>FORMTEXT</w:instrText>
      </w:r>
      <w:r>
        <w:fldChar w:fldCharType="separate"/>
      </w:r>
      <w:r>
        <w:rPr>
          <w:rFonts w:hint="default"/>
        </w:rPr>
        <w:t>     </w:t>
      </w:r>
      <w:r>
        <w:fldChar w:fldCharType="end"/>
      </w:r>
      <w:bookmarkEnd w:id="1"/>
    </w:p>
    <w:tbl>
      <w:tblPr>
        <w:tblStyle w:val="ac"/>
        <w:tblW w:w="9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41"/>
      </w:tblGrid>
      <w:tr w:rsidR="00D746D0">
        <w:tc>
          <w:tcPr>
            <w:tcW w:w="9889" w:type="dxa"/>
            <w:tcBorders>
              <w:top w:val="single" w:sz="8" w:space="0" w:color="auto"/>
            </w:tcBorders>
          </w:tcPr>
          <w:p w:rsidR="00D746D0" w:rsidRDefault="00D746D0">
            <w:pPr>
              <w:pStyle w:val="af2"/>
              <w:framePr w:wrap="around"/>
              <w:rPr>
                <w:rFonts w:hint="default"/>
                <w:sz w:val="10"/>
              </w:rPr>
            </w:pPr>
          </w:p>
        </w:tc>
      </w:tr>
    </w:tbl>
    <w:p w:rsidR="00D746D0" w:rsidRDefault="00E458C5">
      <w:pPr>
        <w:pStyle w:val="af3"/>
        <w:framePr w:wrap="around"/>
        <w:rPr>
          <w:rFonts w:hint="default"/>
        </w:rPr>
      </w:pPr>
      <w:r>
        <w:rPr>
          <w:shd w:val="clear" w:color="FFFFFF" w:fill="D9D9D9"/>
        </w:rPr>
        <w:fldChar w:fldCharType="begin">
          <w:ffData>
            <w:name w:val="StdName"/>
            <w:enabled/>
            <w:calcOnExit w:val="0"/>
            <w:textInput>
              <w:default w:val="青海越夏菌源基地小麦条锈病绿色防治技术规范"/>
            </w:textInput>
          </w:ffData>
        </w:fldChar>
      </w:r>
      <w:bookmarkStart w:id="2" w:name="StdName"/>
      <w:r>
        <w:rPr>
          <w:shd w:val="clear" w:color="FFFFFF" w:fill="D9D9D9"/>
        </w:rPr>
        <w:instrText>FORMTEXT</w:instrText>
      </w:r>
      <w:r>
        <w:rPr>
          <w:shd w:val="clear" w:color="FFFFFF" w:fill="D9D9D9"/>
        </w:rPr>
      </w:r>
      <w:r>
        <w:rPr>
          <w:shd w:val="clear" w:color="FFFFFF" w:fill="D9D9D9"/>
        </w:rPr>
        <w:fldChar w:fldCharType="separate"/>
      </w:r>
      <w:r>
        <w:rPr>
          <w:shd w:val="clear" w:color="FFFFFF" w:fill="D9D9D9"/>
        </w:rPr>
        <w:t>马牙蚕豆原种生产技术规范</w:t>
      </w:r>
      <w:r>
        <w:rPr>
          <w:shd w:val="clear" w:color="FFFFFF" w:fill="D9D9D9"/>
        </w:rPr>
        <w:fldChar w:fldCharType="end"/>
      </w:r>
      <w:bookmarkEnd w:id="2"/>
    </w:p>
    <w:p w:rsidR="00D746D0" w:rsidRDefault="00E458C5">
      <w:pPr>
        <w:pStyle w:val="af4"/>
        <w:framePr w:wrap="around"/>
        <w:rPr>
          <w:rFonts w:hint="default"/>
        </w:rPr>
      </w:pPr>
      <w:r>
        <w:t xml:space="preserve"> </w:t>
      </w:r>
    </w:p>
    <w:p w:rsidR="00D746D0" w:rsidRDefault="00E458C5">
      <w:pPr>
        <w:pStyle w:val="af5"/>
        <w:framePr w:wrap="around"/>
        <w:rPr>
          <w:rFonts w:hint="default"/>
        </w:rPr>
      </w:pPr>
      <w:r>
        <w:t xml:space="preserve"> </w:t>
      </w:r>
    </w:p>
    <w:bookmarkStart w:id="3" w:name="LB"/>
    <w:p w:rsidR="00D746D0" w:rsidRDefault="00E458C5">
      <w:pPr>
        <w:pStyle w:val="af6"/>
        <w:framePr w:wrap="around"/>
        <w:spacing w:after="0"/>
        <w:rPr>
          <w:rFonts w:hint="default"/>
        </w:rPr>
      </w:pPr>
      <w:r>
        <w:fldChar w:fldCharType="begin">
          <w:ffData>
            <w:name w:val="LB"/>
            <w:enabled/>
            <w:calcOnExit w:val="0"/>
            <w:ddList>
              <w:listEntry w:val="     "/>
              <w:listEntry w:val="草案版次选择"/>
              <w:listEntry w:val="（工作组讨论稿）"/>
              <w:listEntry w:val="（征求意见稿）"/>
              <w:listEntry w:val="（送审讨论稿）"/>
              <w:listEntry w:val="（送审稿）"/>
              <w:listEntry w:val="（报批稿）"/>
            </w:ddList>
          </w:ffData>
        </w:fldChar>
      </w:r>
      <w:r>
        <w:instrText>FORMDROPDOWN</w:instrText>
      </w:r>
      <w:r w:rsidR="001C4DF2">
        <w:rPr>
          <w:rFonts w:hint="default"/>
        </w:rPr>
      </w:r>
      <w:r w:rsidR="001C4DF2">
        <w:rPr>
          <w:rFonts w:hint="default"/>
        </w:rPr>
        <w:fldChar w:fldCharType="separate"/>
      </w:r>
      <w:r>
        <w:fldChar w:fldCharType="end"/>
      </w:r>
      <w:bookmarkEnd w:id="3"/>
    </w:p>
    <w:p w:rsidR="00D746D0" w:rsidRDefault="00E458C5">
      <w:pPr>
        <w:pStyle w:val="af7"/>
        <w:framePr w:wrap="around"/>
        <w:spacing w:before="100"/>
        <w:rPr>
          <w:rFonts w:hint="default"/>
        </w:rPr>
      </w:pPr>
      <w:r>
        <w:fldChar w:fldCharType="begin">
          <w:ffData>
            <w:name w:val="WCRQ"/>
            <w:enabled/>
            <w:calcOnExit w:val="0"/>
            <w:textInput/>
          </w:ffData>
        </w:fldChar>
      </w:r>
      <w:bookmarkStart w:id="4" w:name="WCRQ"/>
      <w:r>
        <w:instrText>FORMTEXT</w:instrText>
      </w:r>
      <w:r>
        <w:fldChar w:fldCharType="separate"/>
      </w:r>
      <w:r>
        <w:rPr>
          <w:rFonts w:hint="default"/>
        </w:rPr>
        <w:t>     </w:t>
      </w:r>
      <w:r>
        <w:fldChar w:fldCharType="end"/>
      </w:r>
      <w:bookmarkEnd w:id="4"/>
    </w:p>
    <w:bookmarkStart w:id="5" w:name="FileSelect"/>
    <w:p w:rsidR="00D746D0" w:rsidRDefault="00E458C5">
      <w:pPr>
        <w:pStyle w:val="af8"/>
        <w:framePr w:wrap="around"/>
        <w:spacing w:beforeLines="220" w:before="686" w:after="93"/>
        <w:rPr>
          <w:rFonts w:hint="default"/>
        </w:rPr>
      </w:pPr>
      <w:r>
        <w:fldChar w:fldCharType="begin">
          <w:ffData>
            <w:name w:val="FileSelect"/>
            <w:enabled/>
            <w:calcOnExit w:val="0"/>
            <w:ddList>
              <w:listEntry w:val="     "/>
              <w:listEntry w:val="在提交反馈意见时，请将您知道的相关专利连同支持性文件一并附上。"/>
            </w:ddList>
          </w:ffData>
        </w:fldChar>
      </w:r>
      <w:r>
        <w:instrText>FORMDROPDOWN</w:instrText>
      </w:r>
      <w:r w:rsidR="001C4DF2">
        <w:rPr>
          <w:rFonts w:hint="default"/>
        </w:rPr>
      </w:r>
      <w:r w:rsidR="001C4DF2">
        <w:rPr>
          <w:rFonts w:hint="default"/>
        </w:rPr>
        <w:fldChar w:fldCharType="separate"/>
      </w:r>
      <w:r>
        <w:fldChar w:fldCharType="end"/>
      </w:r>
      <w:bookmarkEnd w:id="5"/>
    </w:p>
    <w:tbl>
      <w:tblPr>
        <w:tblStyle w:val="ac"/>
        <w:tblW w:w="9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70"/>
        <w:gridCol w:w="4871"/>
      </w:tblGrid>
      <w:tr w:rsidR="00D746D0">
        <w:trPr>
          <w:trHeight w:hRule="exact" w:val="363"/>
        </w:trPr>
        <w:tc>
          <w:tcPr>
            <w:tcW w:w="4944" w:type="dxa"/>
            <w:tcBorders>
              <w:bottom w:val="single" w:sz="8" w:space="0" w:color="auto"/>
            </w:tcBorders>
            <w:tcMar>
              <w:left w:w="57" w:type="dxa"/>
              <w:bottom w:w="28" w:type="dxa"/>
            </w:tcMar>
          </w:tcPr>
          <w:p w:rsidR="00D746D0" w:rsidRDefault="00E458C5">
            <w:pPr>
              <w:pStyle w:val="af9"/>
              <w:framePr w:wrap="around"/>
              <w:rPr>
                <w:rFonts w:hint="default"/>
              </w:rPr>
            </w:pPr>
            <w:r>
              <w:t>2024 - XX- XX 发布</w:t>
            </w:r>
          </w:p>
        </w:tc>
        <w:tc>
          <w:tcPr>
            <w:tcW w:w="4945" w:type="dxa"/>
            <w:tcBorders>
              <w:bottom w:val="single" w:sz="8" w:space="0" w:color="auto"/>
            </w:tcBorders>
            <w:tcMar>
              <w:right w:w="57" w:type="dxa"/>
            </w:tcMar>
          </w:tcPr>
          <w:p w:rsidR="00D746D0" w:rsidRDefault="00E458C5">
            <w:pPr>
              <w:pStyle w:val="af9"/>
              <w:framePr w:wrap="around"/>
              <w:jc w:val="right"/>
              <w:rPr>
                <w:rFonts w:hint="default"/>
              </w:rPr>
            </w:pPr>
            <w:r>
              <w:t>2025 - 01 - 01 实施</w:t>
            </w:r>
          </w:p>
        </w:tc>
      </w:tr>
    </w:tbl>
    <w:p w:rsidR="00D746D0" w:rsidRDefault="00E458C5">
      <w:pPr>
        <w:pStyle w:val="20"/>
        <w:framePr w:wrap="around"/>
        <w:spacing w:before="0"/>
        <w:rPr>
          <w:rFonts w:hint="default"/>
        </w:rPr>
      </w:pPr>
      <w:r>
        <w:t>青海省农学会  </w:t>
      </w:r>
      <w:r>
        <w:rPr>
          <w:spacing w:val="85"/>
        </w:rPr>
        <w:t>发</w:t>
      </w:r>
      <w:r>
        <w:t>布</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3"/>
        <w:gridCol w:w="9107"/>
      </w:tblGrid>
      <w:tr w:rsidR="00D746D0">
        <w:tc>
          <w:tcPr>
            <w:tcW w:w="463" w:type="dxa"/>
          </w:tcPr>
          <w:p w:rsidR="00D746D0" w:rsidRDefault="00E458C5">
            <w:pPr>
              <w:pStyle w:val="afc"/>
              <w:framePr w:w="9639" w:wrap="around"/>
              <w:rPr>
                <w:rFonts w:hint="default"/>
              </w:rPr>
            </w:pPr>
            <w:r>
              <w:t>ICS</w:t>
            </w:r>
          </w:p>
        </w:tc>
        <w:tc>
          <w:tcPr>
            <w:tcW w:w="9107" w:type="dxa"/>
          </w:tcPr>
          <w:p w:rsidR="00D746D0" w:rsidRDefault="00E458C5">
            <w:pPr>
              <w:pStyle w:val="afc"/>
              <w:framePr w:w="9639" w:wrap="around"/>
              <w:rPr>
                <w:rFonts w:hint="default"/>
              </w:rPr>
            </w:pPr>
            <w:r>
              <w:t>65.020.20</w:t>
            </w:r>
          </w:p>
        </w:tc>
      </w:tr>
      <w:tr w:rsidR="00D746D0">
        <w:tc>
          <w:tcPr>
            <w:tcW w:w="463" w:type="dxa"/>
          </w:tcPr>
          <w:p w:rsidR="00D746D0" w:rsidRDefault="00E458C5">
            <w:pPr>
              <w:pStyle w:val="afc"/>
              <w:framePr w:w="9639" w:wrap="around"/>
              <w:rPr>
                <w:rFonts w:hint="default"/>
              </w:rPr>
            </w:pPr>
            <w:r>
              <w:t>CCS</w:t>
            </w:r>
          </w:p>
        </w:tc>
        <w:tc>
          <w:tcPr>
            <w:tcW w:w="9107" w:type="dxa"/>
          </w:tcPr>
          <w:p w:rsidR="00D746D0" w:rsidRDefault="00E458C5">
            <w:pPr>
              <w:pStyle w:val="afc"/>
              <w:framePr w:w="9639" w:wrap="around"/>
              <w:rPr>
                <w:rFonts w:hint="default"/>
              </w:rPr>
            </w:pPr>
            <w:r>
              <w:t>B 05</w:t>
            </w:r>
          </w:p>
          <w:tbl>
            <w:tblPr>
              <w:tblStyle w:val="ac"/>
              <w:tblpPr w:vertAnchor="page" w:horzAnchor="margin" w:tblpXSpec="right" w:tblpY="114"/>
              <w:tblOverlap w:val="never"/>
              <w:tblW w:w="66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662"/>
            </w:tblGrid>
            <w:tr w:rsidR="00D746D0">
              <w:trPr>
                <w:trHeight w:val="1281"/>
              </w:trPr>
              <w:tc>
                <w:tcPr>
                  <w:tcW w:w="9107" w:type="dxa"/>
                  <w:vAlign w:val="center"/>
                </w:tcPr>
                <w:p w:rsidR="00D746D0" w:rsidRDefault="00E458C5" w:rsidP="00AD38EE">
                  <w:pPr>
                    <w:pStyle w:val="afc"/>
                    <w:framePr w:wrap="auto" w:vAnchor="margin" w:hAnchor="text" w:xAlign="left" w:yAlign="inline"/>
                    <w:jc w:val="right"/>
                    <w:rPr>
                      <w:rFonts w:ascii="Times New Roman" w:eastAsia="宋体" w:hint="default"/>
                      <w:b/>
                      <w:w w:val="130"/>
                      <w:kern w:val="0"/>
                    </w:rPr>
                  </w:pPr>
                  <w:r>
                    <w:rPr>
                      <w:rFonts w:ascii="楷体" w:eastAsia="楷体" w:hAnsi="楷体" w:cs="楷体"/>
                      <w:b/>
                      <w:w w:val="130"/>
                      <w:kern w:val="0"/>
                      <w:sz w:val="96"/>
                    </w:rPr>
                    <w:t>T</w:t>
                  </w:r>
                  <w:r>
                    <w:rPr>
                      <w:rFonts w:ascii="Times New Roman" w:eastAsia="宋体"/>
                      <w:b/>
                      <w:w w:val="130"/>
                      <w:kern w:val="0"/>
                      <w:sz w:val="96"/>
                    </w:rPr>
                    <w:t>/</w:t>
                  </w:r>
                  <w:r>
                    <w:rPr>
                      <w:rFonts w:ascii="Times New Roman" w:eastAsia="宋体"/>
                      <w:b/>
                      <w:w w:val="130"/>
                      <w:kern w:val="0"/>
                    </w:rPr>
                    <w:t xml:space="preserve"> </w:t>
                  </w:r>
                  <w:r>
                    <w:rPr>
                      <w:rFonts w:ascii="Times New Roman" w:eastAsia="宋体"/>
                      <w:b/>
                      <w:w w:val="130"/>
                      <w:kern w:val="0"/>
                      <w:sz w:val="96"/>
                    </w:rPr>
                    <w:t>QHNX</w:t>
                  </w:r>
                </w:p>
              </w:tc>
            </w:tr>
          </w:tbl>
          <w:p w:rsidR="00D746D0" w:rsidRDefault="00D746D0">
            <w:pPr>
              <w:pStyle w:val="afc"/>
              <w:framePr w:w="9639" w:wrap="around"/>
              <w:rPr>
                <w:rFonts w:hint="default"/>
              </w:rPr>
            </w:pPr>
          </w:p>
        </w:tc>
      </w:tr>
    </w:tbl>
    <w:p w:rsidR="00D746D0" w:rsidRPr="00AD38EE" w:rsidRDefault="00E458C5" w:rsidP="00AD38EE">
      <w:pPr>
        <w:pStyle w:val="3"/>
        <w:framePr w:w="9918" w:h="1126" w:hRule="exact" w:wrap="around" w:x="1530" w:y="2221"/>
        <w:rPr>
          <w:rFonts w:hint="default"/>
          <w:sz w:val="72"/>
          <w:szCs w:val="72"/>
        </w:rPr>
      </w:pPr>
      <w:r w:rsidRPr="00AD38EE">
        <w:rPr>
          <w:sz w:val="72"/>
          <w:szCs w:val="72"/>
        </w:rPr>
        <w:t>团体标准</w:t>
      </w:r>
    </w:p>
    <w:p w:rsidR="00D746D0" w:rsidRDefault="00863627">
      <w:pPr>
        <w:pStyle w:val="2"/>
        <w:framePr w:wrap="around"/>
        <w:rPr>
          <w:rFonts w:hint="default"/>
        </w:rPr>
      </w:pPr>
      <w:r>
        <w:rPr>
          <w:rFonts w:hint="default"/>
        </w:rPr>
        <w:fldChar w:fldCharType="begin">
          <w:ffData>
            <w:name w:val=""/>
            <w:enabled/>
            <w:calcOnExit w:val="0"/>
            <w:textInput>
              <w:default w:val="T/QHNX XXX—2024"/>
            </w:textInput>
          </w:ffData>
        </w:fldChar>
      </w:r>
      <w:r>
        <w:rPr>
          <w:rFonts w:hint="default"/>
        </w:rPr>
        <w:instrText xml:space="preserve"> FORMTEXT </w:instrText>
      </w:r>
      <w:r>
        <w:rPr>
          <w:rFonts w:hint="default"/>
        </w:rPr>
      </w:r>
      <w:r>
        <w:rPr>
          <w:rFonts w:hint="default"/>
        </w:rPr>
        <w:fldChar w:fldCharType="separate"/>
      </w:r>
      <w:r>
        <w:rPr>
          <w:rFonts w:hint="default"/>
          <w:noProof/>
        </w:rPr>
        <w:t>T/QHNX XXX</w:t>
      </w:r>
      <w:r>
        <w:rPr>
          <w:rFonts w:hint="default"/>
          <w:noProof/>
        </w:rPr>
        <w:t>—</w:t>
      </w:r>
      <w:r>
        <w:rPr>
          <w:rFonts w:hint="default"/>
          <w:noProof/>
        </w:rPr>
        <w:t>2024</w:t>
      </w:r>
      <w:r>
        <w:rPr>
          <w:rFonts w:hint="default"/>
        </w:rPr>
        <w:fldChar w:fldCharType="end"/>
      </w:r>
    </w:p>
    <w:p w:rsidR="00D746D0" w:rsidRDefault="00E458C5">
      <w:pPr>
        <w:pStyle w:val="af1"/>
        <w:framePr w:wrap="around"/>
        <w:rPr>
          <w:rFonts w:hint="default"/>
        </w:rPr>
      </w:pPr>
      <w:r>
        <w:fldChar w:fldCharType="begin">
          <w:ffData>
            <w:name w:val="ReplaceT"/>
            <w:enabled/>
            <w:calcOnExit w:val="0"/>
            <w:textInput/>
          </w:ffData>
        </w:fldChar>
      </w:r>
      <w:r>
        <w:instrText>FORMTEXT</w:instrText>
      </w:r>
      <w:r>
        <w:fldChar w:fldCharType="separate"/>
      </w:r>
      <w:r>
        <w:rPr>
          <w:rFonts w:hint="default"/>
        </w:rPr>
        <w:t>     </w:t>
      </w:r>
      <w:r>
        <w:fldChar w:fldCharType="end"/>
      </w:r>
    </w:p>
    <w:tbl>
      <w:tblPr>
        <w:tblStyle w:val="ac"/>
        <w:tblW w:w="9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41"/>
      </w:tblGrid>
      <w:tr w:rsidR="00D746D0">
        <w:tc>
          <w:tcPr>
            <w:tcW w:w="9889" w:type="dxa"/>
            <w:tcBorders>
              <w:top w:val="single" w:sz="8" w:space="0" w:color="auto"/>
            </w:tcBorders>
          </w:tcPr>
          <w:p w:rsidR="00D746D0" w:rsidRDefault="00D746D0">
            <w:pPr>
              <w:pStyle w:val="af2"/>
              <w:framePr w:wrap="around"/>
              <w:rPr>
                <w:rFonts w:hint="default"/>
                <w:sz w:val="10"/>
              </w:rPr>
            </w:pPr>
          </w:p>
        </w:tc>
      </w:tr>
    </w:tbl>
    <w:p w:rsidR="00D746D0" w:rsidRDefault="00D746D0">
      <w:pPr>
        <w:pStyle w:val="af3"/>
        <w:framePr w:wrap="around"/>
        <w:rPr>
          <w:rFonts w:hint="default"/>
        </w:rPr>
      </w:pPr>
    </w:p>
    <w:p w:rsidR="00D746D0" w:rsidRDefault="00E458C5">
      <w:pPr>
        <w:pStyle w:val="af4"/>
        <w:framePr w:wrap="around"/>
        <w:rPr>
          <w:rFonts w:hint="default"/>
        </w:rPr>
      </w:pPr>
      <w:r>
        <w:t xml:space="preserve"> </w:t>
      </w:r>
    </w:p>
    <w:p w:rsidR="00D746D0" w:rsidRDefault="00E458C5">
      <w:pPr>
        <w:pStyle w:val="af5"/>
        <w:framePr w:wrap="around"/>
        <w:rPr>
          <w:rFonts w:hint="default"/>
        </w:rPr>
      </w:pPr>
      <w:r>
        <w:t xml:space="preserve"> </w:t>
      </w:r>
      <w:bookmarkStart w:id="6" w:name="_GoBack"/>
      <w:bookmarkEnd w:id="6"/>
    </w:p>
    <w:p w:rsidR="00D746D0" w:rsidRDefault="00E458C5">
      <w:pPr>
        <w:pStyle w:val="af6"/>
        <w:framePr w:wrap="around"/>
        <w:spacing w:after="0"/>
        <w:rPr>
          <w:rFonts w:hint="default"/>
        </w:rPr>
      </w:pPr>
      <w:r>
        <w:fldChar w:fldCharType="begin">
          <w:ffData>
            <w:name w:val="LB"/>
            <w:enabled/>
            <w:calcOnExit w:val="0"/>
            <w:ddList>
              <w:listEntry w:val="     "/>
              <w:listEntry w:val="草案版次选择"/>
              <w:listEntry w:val="（工作组讨论稿）"/>
              <w:listEntry w:val="（征求意见稿）"/>
              <w:listEntry w:val="（送审讨论稿）"/>
              <w:listEntry w:val="（送审稿）"/>
              <w:listEntry w:val="（报批稿）"/>
            </w:ddList>
          </w:ffData>
        </w:fldChar>
      </w:r>
      <w:r>
        <w:instrText>FORMDROPDOWN</w:instrText>
      </w:r>
      <w:r w:rsidR="001C4DF2">
        <w:rPr>
          <w:rFonts w:hint="default"/>
        </w:rPr>
      </w:r>
      <w:r w:rsidR="001C4DF2">
        <w:rPr>
          <w:rFonts w:hint="default"/>
        </w:rPr>
        <w:fldChar w:fldCharType="separate"/>
      </w:r>
      <w:r>
        <w:fldChar w:fldCharType="end"/>
      </w:r>
    </w:p>
    <w:p w:rsidR="00D746D0" w:rsidRDefault="00E458C5">
      <w:pPr>
        <w:pStyle w:val="af7"/>
        <w:framePr w:wrap="around"/>
        <w:spacing w:before="100"/>
        <w:rPr>
          <w:rFonts w:hint="default"/>
        </w:rPr>
      </w:pPr>
      <w:r>
        <w:fldChar w:fldCharType="begin">
          <w:ffData>
            <w:name w:val="WCRQ"/>
            <w:enabled/>
            <w:calcOnExit w:val="0"/>
            <w:textInput/>
          </w:ffData>
        </w:fldChar>
      </w:r>
      <w:r>
        <w:instrText>FORMTEXT</w:instrText>
      </w:r>
      <w:r>
        <w:fldChar w:fldCharType="separate"/>
      </w:r>
      <w:r>
        <w:rPr>
          <w:rFonts w:hint="default"/>
        </w:rPr>
        <w:t>     </w:t>
      </w:r>
      <w:r>
        <w:fldChar w:fldCharType="end"/>
      </w:r>
    </w:p>
    <w:p w:rsidR="00D746D0" w:rsidRDefault="00E458C5">
      <w:pPr>
        <w:pStyle w:val="af8"/>
        <w:framePr w:wrap="around"/>
        <w:spacing w:beforeLines="220" w:before="686" w:after="93"/>
        <w:rPr>
          <w:rFonts w:hint="default"/>
        </w:rPr>
      </w:pPr>
      <w:r>
        <w:fldChar w:fldCharType="begin">
          <w:ffData>
            <w:name w:val="FileSelect"/>
            <w:enabled/>
            <w:calcOnExit w:val="0"/>
            <w:ddList>
              <w:listEntry w:val="     "/>
              <w:listEntry w:val="在提交反馈意见时，请将您知道的相关专利连同支持性文件一并附上。"/>
            </w:ddList>
          </w:ffData>
        </w:fldChar>
      </w:r>
      <w:r>
        <w:instrText>FORMDROPDOWN</w:instrText>
      </w:r>
      <w:r w:rsidR="001C4DF2">
        <w:rPr>
          <w:rFonts w:hint="default"/>
        </w:rPr>
      </w:r>
      <w:r w:rsidR="001C4DF2">
        <w:rPr>
          <w:rFonts w:hint="default"/>
        </w:rPr>
        <w:fldChar w:fldCharType="separate"/>
      </w:r>
      <w:r>
        <w:fldChar w:fldCharType="end"/>
      </w:r>
    </w:p>
    <w:tbl>
      <w:tblPr>
        <w:tblStyle w:val="ac"/>
        <w:tblW w:w="9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70"/>
        <w:gridCol w:w="4871"/>
      </w:tblGrid>
      <w:tr w:rsidR="00D746D0">
        <w:trPr>
          <w:trHeight w:hRule="exact" w:val="363"/>
        </w:trPr>
        <w:tc>
          <w:tcPr>
            <w:tcW w:w="4944" w:type="dxa"/>
            <w:tcBorders>
              <w:bottom w:val="single" w:sz="8" w:space="0" w:color="auto"/>
            </w:tcBorders>
            <w:tcMar>
              <w:left w:w="57" w:type="dxa"/>
              <w:bottom w:w="28" w:type="dxa"/>
            </w:tcMar>
          </w:tcPr>
          <w:p w:rsidR="00D746D0" w:rsidRDefault="00E458C5">
            <w:pPr>
              <w:pStyle w:val="af9"/>
              <w:framePr w:wrap="around"/>
              <w:rPr>
                <w:rFonts w:hint="default"/>
              </w:rPr>
            </w:pPr>
            <w:r>
              <w:t>2024 - XX- XX 发布</w:t>
            </w:r>
          </w:p>
        </w:tc>
        <w:tc>
          <w:tcPr>
            <w:tcW w:w="4945" w:type="dxa"/>
            <w:tcBorders>
              <w:bottom w:val="single" w:sz="8" w:space="0" w:color="auto"/>
            </w:tcBorders>
            <w:tcMar>
              <w:right w:w="57" w:type="dxa"/>
            </w:tcMar>
          </w:tcPr>
          <w:p w:rsidR="00D746D0" w:rsidRDefault="00E458C5">
            <w:pPr>
              <w:pStyle w:val="af9"/>
              <w:framePr w:wrap="around"/>
              <w:jc w:val="right"/>
              <w:rPr>
                <w:rFonts w:hint="default"/>
              </w:rPr>
            </w:pPr>
            <w:r>
              <w:t>2025 - 01 - 01 实施</w:t>
            </w:r>
          </w:p>
        </w:tc>
      </w:tr>
    </w:tbl>
    <w:p w:rsidR="00D746D0" w:rsidRDefault="00E458C5">
      <w:pPr>
        <w:pStyle w:val="20"/>
        <w:framePr w:wrap="around"/>
        <w:spacing w:before="0"/>
        <w:rPr>
          <w:rFonts w:hint="default"/>
        </w:rPr>
      </w:pPr>
      <w:r>
        <w:t>青海省农学会  </w:t>
      </w:r>
      <w:r>
        <w:rPr>
          <w:spacing w:val="85"/>
        </w:rPr>
        <w:t>发</w:t>
      </w:r>
      <w:r>
        <w:t>布</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3"/>
        <w:gridCol w:w="9107"/>
      </w:tblGrid>
      <w:tr w:rsidR="00D746D0">
        <w:tc>
          <w:tcPr>
            <w:tcW w:w="463" w:type="dxa"/>
          </w:tcPr>
          <w:p w:rsidR="00D746D0" w:rsidRDefault="00E458C5">
            <w:pPr>
              <w:pStyle w:val="afc"/>
              <w:framePr w:w="9639" w:wrap="around"/>
              <w:rPr>
                <w:rFonts w:hint="default"/>
              </w:rPr>
            </w:pPr>
            <w:r>
              <w:t>ICS</w:t>
            </w:r>
          </w:p>
        </w:tc>
        <w:tc>
          <w:tcPr>
            <w:tcW w:w="9107" w:type="dxa"/>
          </w:tcPr>
          <w:p w:rsidR="00D746D0" w:rsidRDefault="00E458C5">
            <w:pPr>
              <w:pStyle w:val="afc"/>
              <w:framePr w:w="9639" w:wrap="around"/>
              <w:rPr>
                <w:rFonts w:hint="default"/>
              </w:rPr>
            </w:pPr>
            <w:r>
              <w:t>65.020.20</w:t>
            </w:r>
          </w:p>
        </w:tc>
      </w:tr>
      <w:tr w:rsidR="00D746D0">
        <w:tc>
          <w:tcPr>
            <w:tcW w:w="463" w:type="dxa"/>
          </w:tcPr>
          <w:p w:rsidR="00D746D0" w:rsidRDefault="00E458C5">
            <w:pPr>
              <w:pStyle w:val="afc"/>
              <w:framePr w:w="9639" w:wrap="around"/>
              <w:rPr>
                <w:rFonts w:hint="default"/>
              </w:rPr>
            </w:pPr>
            <w:r>
              <w:t>CCS</w:t>
            </w:r>
          </w:p>
        </w:tc>
        <w:tc>
          <w:tcPr>
            <w:tcW w:w="9107" w:type="dxa"/>
          </w:tcPr>
          <w:p w:rsidR="00D746D0" w:rsidRDefault="00E458C5">
            <w:pPr>
              <w:pStyle w:val="afc"/>
              <w:framePr w:w="9639" w:wrap="around"/>
              <w:rPr>
                <w:rFonts w:hint="default"/>
              </w:rPr>
            </w:pPr>
            <w:r>
              <w:t>B 05</w:t>
            </w:r>
          </w:p>
          <w:tbl>
            <w:tblPr>
              <w:tblStyle w:val="ac"/>
              <w:tblpPr w:vertAnchor="page" w:horzAnchor="margin" w:tblpXSpec="right" w:tblpY="114"/>
              <w:tblOverlap w:val="never"/>
              <w:tblW w:w="66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662"/>
            </w:tblGrid>
            <w:tr w:rsidR="00D746D0">
              <w:trPr>
                <w:trHeight w:val="1281"/>
              </w:trPr>
              <w:tc>
                <w:tcPr>
                  <w:tcW w:w="9107" w:type="dxa"/>
                  <w:vAlign w:val="center"/>
                </w:tcPr>
                <w:p w:rsidR="00D746D0" w:rsidRDefault="00E458C5" w:rsidP="00AD38EE">
                  <w:pPr>
                    <w:pStyle w:val="afc"/>
                    <w:framePr w:wrap="auto" w:vAnchor="margin" w:hAnchor="text" w:xAlign="left" w:yAlign="inline"/>
                    <w:jc w:val="right"/>
                    <w:rPr>
                      <w:rFonts w:ascii="Times New Roman" w:eastAsia="宋体" w:hint="default"/>
                      <w:b/>
                      <w:w w:val="130"/>
                      <w:kern w:val="0"/>
                    </w:rPr>
                  </w:pPr>
                  <w:r>
                    <w:rPr>
                      <w:rFonts w:ascii="楷体" w:eastAsia="楷体" w:hAnsi="楷体" w:cs="楷体"/>
                      <w:b/>
                      <w:w w:val="130"/>
                      <w:kern w:val="0"/>
                      <w:sz w:val="96"/>
                    </w:rPr>
                    <w:t>T</w:t>
                  </w:r>
                  <w:r>
                    <w:rPr>
                      <w:rFonts w:ascii="Times New Roman" w:eastAsia="宋体"/>
                      <w:b/>
                      <w:w w:val="130"/>
                      <w:kern w:val="0"/>
                      <w:sz w:val="96"/>
                    </w:rPr>
                    <w:t>/</w:t>
                  </w:r>
                  <w:r>
                    <w:rPr>
                      <w:rFonts w:ascii="Times New Roman" w:eastAsia="宋体"/>
                      <w:b/>
                      <w:w w:val="130"/>
                      <w:kern w:val="0"/>
                    </w:rPr>
                    <w:t xml:space="preserve"> </w:t>
                  </w:r>
                  <w:r>
                    <w:rPr>
                      <w:rFonts w:ascii="Times New Roman" w:eastAsia="宋体"/>
                      <w:b/>
                      <w:w w:val="130"/>
                      <w:kern w:val="0"/>
                      <w:sz w:val="96"/>
                    </w:rPr>
                    <w:t>QHNX</w:t>
                  </w:r>
                </w:p>
              </w:tc>
            </w:tr>
          </w:tbl>
          <w:p w:rsidR="00D746D0" w:rsidRDefault="00D746D0">
            <w:pPr>
              <w:pStyle w:val="afc"/>
              <w:framePr w:w="9639" w:wrap="around"/>
              <w:rPr>
                <w:rFonts w:hint="default"/>
              </w:rPr>
            </w:pPr>
          </w:p>
        </w:tc>
      </w:tr>
    </w:tbl>
    <w:p w:rsidR="00D746D0" w:rsidRDefault="00D746D0">
      <w:pPr>
        <w:pStyle w:val="ae"/>
        <w:sectPr w:rsidR="00D746D0">
          <w:headerReference w:type="default" r:id="rId8"/>
          <w:footerReference w:type="default" r:id="rId9"/>
          <w:pgSz w:w="11906" w:h="16838"/>
          <w:pgMar w:top="567" w:right="1134" w:bottom="1134" w:left="1418" w:header="1418" w:footer="1134" w:gutter="0"/>
          <w:pgNumType w:start="0"/>
          <w:cols w:space="720"/>
          <w:formProt w:val="0"/>
          <w:docGrid w:type="lines" w:linePitch="312"/>
        </w:sectPr>
      </w:pPr>
    </w:p>
    <w:p w:rsidR="00D746D0" w:rsidRDefault="00E458C5">
      <w:pPr>
        <w:pStyle w:val="ad"/>
        <w:ind w:firstLineChars="1100" w:firstLine="3520"/>
        <w:jc w:val="both"/>
      </w:pPr>
      <w:r>
        <w:rPr>
          <w:rFonts w:hint="eastAsia"/>
        </w:rPr>
        <w:lastRenderedPageBreak/>
        <w:t>前</w:t>
      </w:r>
      <w:bookmarkStart w:id="7" w:name="BKQY"/>
      <w:r>
        <w:rPr>
          <w:rFonts w:ascii="MS Mincho" w:eastAsia="MS Mincho" w:hAnsi="MS Mincho" w:cs="MS Mincho" w:hint="eastAsia"/>
        </w:rPr>
        <w:t>  </w:t>
      </w:r>
      <w:r>
        <w:rPr>
          <w:rFonts w:hint="eastAsia"/>
        </w:rPr>
        <w:t>言</w:t>
      </w:r>
      <w:bookmarkEnd w:id="7"/>
    </w:p>
    <w:p w:rsidR="00D746D0" w:rsidRDefault="00E458C5">
      <w:pPr>
        <w:pStyle w:val="ae"/>
      </w:pPr>
      <w:r>
        <w:rPr>
          <w:rFonts w:hint="eastAsia"/>
        </w:rPr>
        <w:t>本文件按照GB/T 1.1-2020《标准化工作导则第1部分：标准化文件的结构和起草规则》给出的规则编写。请注意本文件的某些内容可能涉及专利。本文件的发布机构不承担识别专利的责任。</w:t>
      </w:r>
    </w:p>
    <w:p w:rsidR="00D746D0" w:rsidRDefault="00E458C5">
      <w:pPr>
        <w:pStyle w:val="ae"/>
      </w:pPr>
      <w:r>
        <w:rPr>
          <w:rFonts w:hint="eastAsia"/>
        </w:rPr>
        <w:t>本文件由青海省农学会提出并归口。</w:t>
      </w:r>
    </w:p>
    <w:p w:rsidR="00D746D0" w:rsidRDefault="00E458C5">
      <w:pPr>
        <w:pStyle w:val="ae"/>
      </w:pPr>
      <w:r>
        <w:rPr>
          <w:rFonts w:hint="eastAsia"/>
        </w:rPr>
        <w:t>本文件起草单位</w:t>
      </w:r>
      <w:r>
        <w:rPr>
          <w:rFonts w:hint="eastAsia"/>
          <w:color w:val="000000"/>
        </w:rPr>
        <w:t>：湟源县种子站、青海省农作物种子站、青海大学农林科学院、湟源县农业技术推广中心。</w:t>
      </w:r>
    </w:p>
    <w:p w:rsidR="00D746D0" w:rsidRDefault="00E458C5">
      <w:pPr>
        <w:pStyle w:val="ae"/>
      </w:pPr>
      <w:r>
        <w:rPr>
          <w:rFonts w:hint="eastAsia"/>
        </w:rPr>
        <w:t>本文件主要起草人：张晓玲、许宁、赵明月、康清、雷占萍、马斌、王君腾、马小军、韩文婷、侯万伟、郭兴莲、李萍、腾长才、李生楷、宋月奎、韩文婷、张琦、薛明珍、杨彩凤、李德卿、钟起荣、谢启兴、赵云、何银宝、李积莲。</w:t>
      </w:r>
    </w:p>
    <w:p w:rsidR="00D746D0" w:rsidRDefault="00E458C5">
      <w:pPr>
        <w:pStyle w:val="ae"/>
      </w:pPr>
      <w:r>
        <w:rPr>
          <w:rFonts w:hint="eastAsia"/>
        </w:rPr>
        <w:t>本文件由青海省农学会实施。</w:t>
      </w:r>
    </w:p>
    <w:p w:rsidR="00D746D0" w:rsidRDefault="00D746D0">
      <w:pPr>
        <w:pStyle w:val="ae"/>
        <w:sectPr w:rsidR="00D746D0">
          <w:headerReference w:type="default" r:id="rId10"/>
          <w:footerReference w:type="default" r:id="rId11"/>
          <w:pgSz w:w="11906" w:h="16838"/>
          <w:pgMar w:top="567" w:right="1134" w:bottom="1134" w:left="1418" w:header="1418" w:footer="1134" w:gutter="0"/>
          <w:pgNumType w:start="1"/>
          <w:cols w:space="720"/>
          <w:formProt w:val="0"/>
          <w:docGrid w:type="lines" w:linePitch="312"/>
        </w:sectPr>
      </w:pPr>
    </w:p>
    <w:p w:rsidR="00D746D0" w:rsidRDefault="00E458C5">
      <w:pPr>
        <w:pStyle w:val="af"/>
      </w:pPr>
      <w:r>
        <w:rPr>
          <w:rFonts w:hint="eastAsia"/>
        </w:rPr>
        <w:lastRenderedPageBreak/>
        <w:t>马牙蚕豆原种生产技术规范</w:t>
      </w:r>
      <w:bookmarkStart w:id="8" w:name="StandardName"/>
      <w:bookmarkEnd w:id="8"/>
    </w:p>
    <w:p w:rsidR="00D746D0" w:rsidRDefault="00E458C5">
      <w:pPr>
        <w:pStyle w:val="a"/>
        <w:spacing w:before="312" w:after="312"/>
      </w:pPr>
      <w:r>
        <w:rPr>
          <w:rFonts w:hint="eastAsia"/>
        </w:rPr>
        <w:t>范围</w:t>
      </w:r>
    </w:p>
    <w:p w:rsidR="00D746D0" w:rsidRDefault="00E458C5">
      <w:pPr>
        <w:pStyle w:val="ae"/>
      </w:pPr>
      <w:r>
        <w:rPr>
          <w:rFonts w:hint="eastAsia"/>
        </w:rPr>
        <w:t>本文件规定了马牙蚕豆原种生产技术的单株选择、株行圃鉴定、株系圃鉴定、原种圃繁殖及收获。</w:t>
      </w:r>
    </w:p>
    <w:p w:rsidR="00D746D0" w:rsidRDefault="00E458C5">
      <w:pPr>
        <w:pStyle w:val="ae"/>
      </w:pPr>
      <w:r>
        <w:rPr>
          <w:rFonts w:hint="eastAsia"/>
        </w:rPr>
        <w:t>本文件适用于我省马牙蚕豆原种繁殖地区。</w:t>
      </w:r>
    </w:p>
    <w:p w:rsidR="00D746D0" w:rsidRDefault="00E458C5">
      <w:pPr>
        <w:pStyle w:val="a"/>
        <w:spacing w:before="312" w:after="312"/>
      </w:pPr>
      <w:r>
        <w:rPr>
          <w:rFonts w:hint="eastAsia"/>
        </w:rPr>
        <w:t>规范性引用文件</w:t>
      </w:r>
    </w:p>
    <w:p w:rsidR="00D746D0" w:rsidRDefault="00E458C5">
      <w:pPr>
        <w:pStyle w:val="ae"/>
        <w:rPr>
          <w:color w:val="000000"/>
        </w:rPr>
      </w:pPr>
      <w:r>
        <w:rPr>
          <w:rFonts w:hint="eastAsia"/>
          <w:color w:val="000000"/>
        </w:rPr>
        <w:t>下列文件对于本文件的应用是必不可少的。凡是注日期的引用文件，仅注日期的版本适用于本文件。凡是不注日期的引用文件，其最新版本（包括所有的修改单）适用于本文件。</w:t>
      </w:r>
    </w:p>
    <w:p w:rsidR="00D746D0" w:rsidRDefault="00E458C5">
      <w:pPr>
        <w:pStyle w:val="ae"/>
      </w:pPr>
      <w:r>
        <w:rPr>
          <w:rFonts w:hint="eastAsia"/>
        </w:rPr>
        <w:t>GB/T 3543          农作物种子检验规程</w:t>
      </w:r>
    </w:p>
    <w:p w:rsidR="00D746D0" w:rsidRDefault="00E458C5">
      <w:pPr>
        <w:pStyle w:val="ae"/>
      </w:pPr>
      <w:r>
        <w:rPr>
          <w:rFonts w:hint="eastAsia"/>
        </w:rPr>
        <w:t>GB 4404.2        粮食作物种子   豆类</w:t>
      </w:r>
    </w:p>
    <w:p w:rsidR="00D746D0" w:rsidRDefault="00E458C5">
      <w:pPr>
        <w:pStyle w:val="ae"/>
      </w:pPr>
      <w:r>
        <w:rPr>
          <w:rFonts w:hint="eastAsia"/>
        </w:rPr>
        <w:t>DB63/T535-2005   马牙蚕豆丰产栽培技术</w:t>
      </w:r>
    </w:p>
    <w:p w:rsidR="00D746D0" w:rsidRDefault="00E458C5">
      <w:pPr>
        <w:pStyle w:val="a"/>
        <w:spacing w:before="312" w:after="312"/>
      </w:pPr>
      <w:r>
        <w:rPr>
          <w:rFonts w:hint="eastAsia"/>
        </w:rPr>
        <w:t>术语和定义</w:t>
      </w:r>
    </w:p>
    <w:p w:rsidR="00D746D0" w:rsidRDefault="00E458C5">
      <w:pPr>
        <w:pStyle w:val="ae"/>
      </w:pPr>
      <w:r>
        <w:rPr>
          <w:rFonts w:hint="eastAsia"/>
        </w:rPr>
        <w:t>原种basic seed</w:t>
      </w:r>
    </w:p>
    <w:p w:rsidR="00D746D0" w:rsidRDefault="00E458C5">
      <w:pPr>
        <w:pStyle w:val="ae"/>
        <w:ind w:firstLineChars="0" w:firstLine="0"/>
      </w:pPr>
      <w:r>
        <w:rPr>
          <w:rFonts w:hint="eastAsia"/>
        </w:rPr>
        <w:t xml:space="preserve">    用育种家种子直接繁殖的或按原种生产技术规程生产的达到原种质量标准的种子。</w:t>
      </w:r>
    </w:p>
    <w:p w:rsidR="00D746D0" w:rsidRDefault="00E458C5">
      <w:pPr>
        <w:pStyle w:val="a"/>
        <w:spacing w:before="312" w:after="312"/>
      </w:pPr>
      <w:r>
        <w:rPr>
          <w:rFonts w:hint="eastAsia"/>
        </w:rPr>
        <w:t>马牙原种生产</w:t>
      </w:r>
    </w:p>
    <w:p w:rsidR="00D746D0" w:rsidRDefault="00E458C5">
      <w:pPr>
        <w:pStyle w:val="a"/>
        <w:numPr>
          <w:ilvl w:val="0"/>
          <w:numId w:val="0"/>
        </w:numPr>
        <w:spacing w:before="312" w:after="312"/>
        <w:rPr>
          <w:rFonts w:ascii="宋体" w:eastAsia="宋体" w:hAnsi="宋体"/>
        </w:rPr>
      </w:pPr>
      <w:r>
        <w:rPr>
          <w:rFonts w:hint="eastAsia"/>
          <w:sz w:val="18"/>
          <w:szCs w:val="18"/>
        </w:rPr>
        <w:t xml:space="preserve">  </w:t>
      </w:r>
      <w:r>
        <w:rPr>
          <w:rFonts w:ascii="宋体" w:eastAsia="宋体" w:hAnsi="宋体" w:cs="宋体" w:hint="eastAsia"/>
          <w:szCs w:val="21"/>
        </w:rPr>
        <w:t xml:space="preserve">  经单株选择，</w:t>
      </w:r>
      <w:r>
        <w:rPr>
          <w:rFonts w:ascii="宋体" w:eastAsia="宋体" w:hAnsi="宋体" w:hint="eastAsia"/>
        </w:rPr>
        <w:t>采用三圃制种子生产方法，即株行圃鉴定、株系圃鉴定和原种圃繁植，或采用两圃制种子生产方法，即株行圃鉴定、原种圃种植。</w:t>
      </w:r>
    </w:p>
    <w:p w:rsidR="00D746D0" w:rsidRDefault="00E458C5">
      <w:pPr>
        <w:pStyle w:val="a"/>
        <w:numPr>
          <w:ilvl w:val="0"/>
          <w:numId w:val="0"/>
        </w:numPr>
        <w:spacing w:before="312" w:after="312"/>
      </w:pPr>
      <w:r>
        <w:rPr>
          <w:rFonts w:hint="eastAsia"/>
        </w:rPr>
        <w:t>4.1　单株选择</w:t>
      </w:r>
    </w:p>
    <w:p w:rsidR="00D746D0" w:rsidRDefault="00E458C5">
      <w:pPr>
        <w:pStyle w:val="a1"/>
        <w:spacing w:before="156" w:after="156"/>
      </w:pPr>
      <w:r>
        <w:rPr>
          <w:rFonts w:hint="eastAsia"/>
        </w:rPr>
        <w:t xml:space="preserve"> 单株来源</w:t>
      </w:r>
    </w:p>
    <w:p w:rsidR="00D746D0" w:rsidRDefault="00E458C5">
      <w:pPr>
        <w:pStyle w:val="a"/>
        <w:numPr>
          <w:ilvl w:val="0"/>
          <w:numId w:val="0"/>
        </w:numPr>
        <w:spacing w:before="312" w:after="312"/>
        <w:ind w:firstLineChars="200" w:firstLine="420"/>
      </w:pPr>
      <w:r>
        <w:rPr>
          <w:rFonts w:ascii="宋体" w:eastAsia="宋体" w:hAnsi="宋体" w:hint="eastAsia"/>
        </w:rPr>
        <w:t>人工挑选自然群体中</w:t>
      </w:r>
      <w:r>
        <w:rPr>
          <w:rFonts w:ascii="宋体" w:eastAsia="宋体" w:hAnsi="宋体" w:hint="eastAsia"/>
          <w:color w:val="000000"/>
        </w:rPr>
        <w:t>性状一致</w:t>
      </w:r>
      <w:r>
        <w:rPr>
          <w:rFonts w:ascii="宋体" w:eastAsia="宋体" w:hAnsi="宋体" w:hint="eastAsia"/>
        </w:rPr>
        <w:t>、籽粒均匀的马牙蚕豆种子进行单株</w:t>
      </w:r>
      <w:r>
        <w:rPr>
          <w:rFonts w:ascii="宋体" w:eastAsia="宋体" w:hAnsi="宋体" w:hint="eastAsia"/>
          <w:color w:val="000000"/>
        </w:rPr>
        <w:t>选择田块</w:t>
      </w:r>
      <w:r>
        <w:rPr>
          <w:rFonts w:ascii="宋体" w:eastAsia="宋体" w:hAnsi="宋体" w:hint="eastAsia"/>
        </w:rPr>
        <w:t>种植，进行马牙蚕豆性状鉴定，从单株选择田块挑选性状一致的植株。如有株行圃或株系圃，可从株行圃或株系圃进行单株选择，无需进行单株选择田块种植。品种标准参见附录A。</w:t>
      </w:r>
    </w:p>
    <w:p w:rsidR="00D746D0" w:rsidRDefault="00E458C5">
      <w:pPr>
        <w:pStyle w:val="a1"/>
        <w:spacing w:before="156" w:after="156"/>
      </w:pPr>
      <w:r>
        <w:rPr>
          <w:rFonts w:hint="eastAsia"/>
        </w:rPr>
        <w:t xml:space="preserve"> 选择方法</w:t>
      </w:r>
    </w:p>
    <w:p w:rsidR="00D746D0" w:rsidRDefault="00E458C5">
      <w:pPr>
        <w:pStyle w:val="a2"/>
        <w:numPr>
          <w:ilvl w:val="0"/>
          <w:numId w:val="0"/>
        </w:numPr>
        <w:spacing w:before="156" w:after="156"/>
      </w:pPr>
      <w:r>
        <w:rPr>
          <w:rFonts w:hint="eastAsia"/>
        </w:rPr>
        <w:t>4.1.2.1   田间选择标记</w:t>
      </w:r>
    </w:p>
    <w:p w:rsidR="00D746D0" w:rsidRDefault="00E458C5">
      <w:pPr>
        <w:pStyle w:val="a"/>
        <w:numPr>
          <w:ilvl w:val="0"/>
          <w:numId w:val="0"/>
        </w:numPr>
        <w:spacing w:before="312" w:after="312"/>
        <w:rPr>
          <w:rFonts w:ascii="宋体" w:eastAsia="宋体" w:hAnsi="宋体"/>
        </w:rPr>
      </w:pPr>
      <w:r>
        <w:rPr>
          <w:rFonts w:hint="eastAsia"/>
        </w:rPr>
        <w:t xml:space="preserve">  </w:t>
      </w:r>
      <w:r>
        <w:rPr>
          <w:rFonts w:ascii="宋体" w:eastAsia="宋体" w:hAnsi="宋体" w:hint="eastAsia"/>
        </w:rPr>
        <w:t xml:space="preserve"> 在开花期、结荚期，人工选择植株健壮、抗病力强、无倒伏、性状稳定、整齐一致</w:t>
      </w:r>
      <w:r>
        <w:rPr>
          <w:rFonts w:ascii="宋体" w:eastAsia="宋体" w:hAnsi="宋体" w:hint="eastAsia"/>
          <w:color w:val="000000"/>
        </w:rPr>
        <w:t>的单株</w:t>
      </w:r>
      <w:r>
        <w:rPr>
          <w:rFonts w:ascii="宋体" w:eastAsia="宋体" w:hAnsi="宋体" w:hint="eastAsia"/>
        </w:rPr>
        <w:t>，挂牌标识，收获期进行单独收获。</w:t>
      </w:r>
    </w:p>
    <w:p w:rsidR="00D746D0" w:rsidRDefault="00E458C5">
      <w:pPr>
        <w:pStyle w:val="a2"/>
        <w:numPr>
          <w:ilvl w:val="3"/>
          <w:numId w:val="5"/>
        </w:numPr>
        <w:spacing w:before="156" w:after="156"/>
      </w:pPr>
      <w:r>
        <w:rPr>
          <w:rFonts w:hint="eastAsia"/>
        </w:rPr>
        <w:lastRenderedPageBreak/>
        <w:t xml:space="preserve"> 室内考种</w:t>
      </w:r>
    </w:p>
    <w:p w:rsidR="00D746D0" w:rsidRDefault="00E458C5">
      <w:pPr>
        <w:pStyle w:val="a"/>
        <w:numPr>
          <w:ilvl w:val="0"/>
          <w:numId w:val="0"/>
        </w:numPr>
        <w:spacing w:before="312" w:after="312"/>
        <w:ind w:firstLineChars="200" w:firstLine="420"/>
        <w:rPr>
          <w:rFonts w:ascii="宋体" w:eastAsia="宋体" w:hAnsi="宋体"/>
        </w:rPr>
      </w:pPr>
      <w:r>
        <w:rPr>
          <w:rFonts w:ascii="宋体" w:eastAsia="宋体" w:hAnsi="宋体" w:hint="eastAsia"/>
        </w:rPr>
        <w:t>根据马牙蚕豆</w:t>
      </w:r>
      <w:r>
        <w:rPr>
          <w:rFonts w:eastAsia="宋体" w:hAnsi="宋体" w:hint="eastAsia"/>
        </w:rPr>
        <w:t>品种</w:t>
      </w:r>
      <w:r>
        <w:rPr>
          <w:rFonts w:ascii="宋体" w:eastAsia="宋体" w:hAnsi="宋体" w:hint="eastAsia"/>
        </w:rPr>
        <w:t>性状</w:t>
      </w:r>
      <w:r>
        <w:rPr>
          <w:rFonts w:eastAsia="宋体" w:hAnsi="宋体" w:hint="eastAsia"/>
        </w:rPr>
        <w:t>，</w:t>
      </w:r>
      <w:r>
        <w:rPr>
          <w:rFonts w:ascii="宋体" w:eastAsia="宋体" w:hAnsi="宋体" w:hint="eastAsia"/>
        </w:rPr>
        <w:t>对收获的单株进行考种、脱粒，淘汰杂劣株、病株。对每株的荚数、粒数、粒重等重要籽粒性状进行决选。</w:t>
      </w:r>
    </w:p>
    <w:p w:rsidR="00D746D0" w:rsidRDefault="00E458C5">
      <w:pPr>
        <w:pStyle w:val="a0"/>
        <w:numPr>
          <w:ilvl w:val="1"/>
          <w:numId w:val="5"/>
        </w:numPr>
        <w:spacing w:before="156" w:after="156"/>
      </w:pPr>
      <w:r>
        <w:rPr>
          <w:rFonts w:hint="eastAsia"/>
        </w:rPr>
        <w:t>地块选择</w:t>
      </w:r>
    </w:p>
    <w:p w:rsidR="00D746D0" w:rsidRDefault="00E458C5">
      <w:pPr>
        <w:pStyle w:val="a2"/>
        <w:numPr>
          <w:ilvl w:val="0"/>
          <w:numId w:val="0"/>
        </w:numPr>
        <w:spacing w:before="156" w:after="156"/>
        <w:ind w:firstLineChars="200" w:firstLine="420"/>
      </w:pPr>
      <w:r>
        <w:rPr>
          <w:rFonts w:ascii="宋体" w:eastAsia="宋体" w:hAnsi="宋体" w:hint="eastAsia"/>
        </w:rPr>
        <w:t>选择适合马牙蚕豆生产、地势平坦、土壤肥沃、灌溉方便的地块，前茬忌蚕豆，周围1000m内无其他蚕豆品种种植。其他条件按GB63/T535-2005Z执行。</w:t>
      </w:r>
    </w:p>
    <w:p w:rsidR="00D746D0" w:rsidRDefault="00E458C5">
      <w:pPr>
        <w:pStyle w:val="a0"/>
        <w:numPr>
          <w:ilvl w:val="1"/>
          <w:numId w:val="5"/>
        </w:numPr>
        <w:spacing w:before="156" w:after="156"/>
      </w:pPr>
      <w:r>
        <w:rPr>
          <w:rFonts w:hint="eastAsia"/>
        </w:rPr>
        <w:t>株行圃鉴定</w:t>
      </w:r>
    </w:p>
    <w:p w:rsidR="00D746D0" w:rsidRDefault="00E458C5">
      <w:pPr>
        <w:pStyle w:val="ae"/>
        <w:ind w:firstLineChars="0" w:firstLine="0"/>
        <w:rPr>
          <w:rFonts w:ascii="黑体" w:eastAsia="黑体" w:hAnsi="黑体"/>
        </w:rPr>
      </w:pPr>
      <w:r>
        <w:rPr>
          <w:rFonts w:ascii="黑体" w:eastAsia="黑体" w:hAnsi="黑体" w:hint="eastAsia"/>
        </w:rPr>
        <w:t>4.3.1  播种</w:t>
      </w:r>
    </w:p>
    <w:p w:rsidR="00D746D0" w:rsidRDefault="00E458C5">
      <w:pPr>
        <w:pStyle w:val="a"/>
        <w:numPr>
          <w:ilvl w:val="0"/>
          <w:numId w:val="0"/>
        </w:numPr>
        <w:spacing w:before="312" w:after="312"/>
        <w:ind w:firstLine="420"/>
        <w:rPr>
          <w:rFonts w:ascii="宋体" w:eastAsia="宋体" w:hAnsi="宋体"/>
        </w:rPr>
      </w:pPr>
      <w:r>
        <w:rPr>
          <w:rFonts w:ascii="宋体" w:eastAsia="宋体" w:hAnsi="宋体" w:hint="eastAsia"/>
        </w:rPr>
        <w:t>将上年选择的单株于3月下旬至4月中旬进行播种，播种时按选择单株的编号顺序进行种植，并做标记。</w:t>
      </w:r>
      <w:r>
        <w:rPr>
          <w:rFonts w:ascii="宋体" w:eastAsia="宋体" w:hAnsi="宋体" w:hint="eastAsia"/>
          <w:color w:val="000000"/>
        </w:rPr>
        <w:t>行距40cm</w:t>
      </w:r>
      <w:r>
        <w:rPr>
          <w:rFonts w:ascii="宋体" w:eastAsia="宋体" w:hAnsi="宋体" w:hint="eastAsia"/>
        </w:rPr>
        <w:t>-50cm,株距15cm-20cm，种植时可每隔9行种植1行原种作为对照。</w:t>
      </w:r>
    </w:p>
    <w:p w:rsidR="00D746D0" w:rsidRDefault="00E458C5">
      <w:pPr>
        <w:pStyle w:val="ae"/>
        <w:ind w:firstLineChars="0" w:firstLine="0"/>
        <w:rPr>
          <w:rFonts w:ascii="黑体" w:eastAsia="黑体" w:hAnsi="黑体"/>
        </w:rPr>
      </w:pPr>
      <w:r>
        <w:rPr>
          <w:rFonts w:ascii="黑体" w:eastAsia="黑体" w:hAnsi="黑体" w:hint="eastAsia"/>
        </w:rPr>
        <w:t>4.3.2  田间鉴定</w:t>
      </w:r>
    </w:p>
    <w:p w:rsidR="00D746D0" w:rsidRDefault="00E458C5">
      <w:pPr>
        <w:pStyle w:val="a"/>
        <w:numPr>
          <w:ilvl w:val="0"/>
          <w:numId w:val="0"/>
        </w:numPr>
        <w:spacing w:before="312" w:after="312"/>
        <w:rPr>
          <w:rFonts w:ascii="宋体" w:eastAsia="宋体" w:hAnsi="宋体"/>
        </w:rPr>
      </w:pPr>
      <w:r>
        <w:rPr>
          <w:rFonts w:ascii="宋体" w:eastAsia="宋体" w:hAnsi="宋体" w:hint="eastAsia"/>
        </w:rPr>
        <w:t xml:space="preserve">    在开花期、结荚期、收获期关键生育阶段按马牙蚕豆典型性状和丰产性进行观察记载和比较鉴定，并进行标记。及时拔除杂株，防止发生混杂。</w:t>
      </w:r>
    </w:p>
    <w:p w:rsidR="00D746D0" w:rsidRDefault="00E458C5">
      <w:pPr>
        <w:pStyle w:val="ae"/>
        <w:ind w:firstLineChars="0" w:firstLine="0"/>
        <w:rPr>
          <w:rFonts w:ascii="黑体" w:eastAsia="黑体" w:hAnsi="黑体"/>
        </w:rPr>
      </w:pPr>
      <w:r>
        <w:rPr>
          <w:rFonts w:ascii="黑体" w:eastAsia="黑体" w:hAnsi="黑体" w:hint="eastAsia"/>
        </w:rPr>
        <w:t>4.3.3   收获</w:t>
      </w:r>
    </w:p>
    <w:p w:rsidR="00D746D0" w:rsidRDefault="00D746D0">
      <w:pPr>
        <w:pStyle w:val="ae"/>
        <w:ind w:firstLineChars="0" w:firstLine="0"/>
        <w:rPr>
          <w:rFonts w:ascii="黑体" w:eastAsia="黑体" w:hAnsi="黑体"/>
        </w:rPr>
      </w:pPr>
    </w:p>
    <w:p w:rsidR="00D746D0" w:rsidRDefault="00E458C5">
      <w:pPr>
        <w:pStyle w:val="ae"/>
      </w:pPr>
      <w:r>
        <w:rPr>
          <w:rFonts w:hAnsi="宋体" w:hint="eastAsia"/>
        </w:rPr>
        <w:t>选择生产力强的株行进行单独收获，并根据马牙蚕豆籽粒性状进行决选，剔除不符合马牙蚕豆性状的株行。如果选用两圃制种子生产方法，对入选株行进行单独收获，剔除不符合马牙蚕豆籽粒性状的株行，其他种子进行混合，用于下年原种圃种植。</w:t>
      </w:r>
    </w:p>
    <w:p w:rsidR="00D746D0" w:rsidRDefault="00E458C5">
      <w:pPr>
        <w:pStyle w:val="a0"/>
        <w:numPr>
          <w:ilvl w:val="1"/>
          <w:numId w:val="5"/>
        </w:numPr>
        <w:spacing w:before="156" w:after="156"/>
        <w:rPr>
          <w:rFonts w:eastAsia="宋体" w:hAnsi="宋体"/>
        </w:rPr>
      </w:pPr>
      <w:r>
        <w:rPr>
          <w:rFonts w:hAnsi="黑体" w:hint="eastAsia"/>
        </w:rPr>
        <w:t>株系圃鉴定</w:t>
      </w:r>
    </w:p>
    <w:p w:rsidR="00D746D0" w:rsidRDefault="00E458C5">
      <w:pPr>
        <w:pStyle w:val="ae"/>
        <w:ind w:firstLineChars="0" w:firstLine="0"/>
        <w:rPr>
          <w:rFonts w:ascii="黑体" w:eastAsia="黑体" w:hAnsi="黑体"/>
        </w:rPr>
      </w:pPr>
      <w:r>
        <w:rPr>
          <w:rFonts w:ascii="黑体" w:eastAsia="黑体" w:hAnsi="黑体" w:hint="eastAsia"/>
        </w:rPr>
        <w:t>4.4.1  播种</w:t>
      </w:r>
    </w:p>
    <w:p w:rsidR="00D746D0" w:rsidRDefault="00E458C5">
      <w:pPr>
        <w:pStyle w:val="a"/>
        <w:numPr>
          <w:ilvl w:val="0"/>
          <w:numId w:val="0"/>
        </w:numPr>
        <w:spacing w:before="312" w:after="312"/>
        <w:ind w:firstLineChars="200" w:firstLine="420"/>
        <w:rPr>
          <w:rFonts w:ascii="宋体" w:eastAsia="宋体" w:hAnsi="宋体"/>
        </w:rPr>
      </w:pPr>
      <w:r>
        <w:rPr>
          <w:rFonts w:ascii="宋体" w:eastAsia="宋体" w:hAnsi="宋体" w:hint="eastAsia"/>
        </w:rPr>
        <w:t>将上年选择的株行于3月下旬至4月中旬进行种植，每系一区，种植行距4</w:t>
      </w:r>
      <w:r>
        <w:rPr>
          <w:rFonts w:ascii="宋体" w:eastAsia="宋体" w:hAnsi="宋体" w:hint="eastAsia"/>
          <w:color w:val="000000"/>
        </w:rPr>
        <w:t>0cm-50cm,</w:t>
      </w:r>
      <w:r>
        <w:rPr>
          <w:rFonts w:ascii="宋体" w:eastAsia="宋体" w:hAnsi="宋体" w:hint="eastAsia"/>
        </w:rPr>
        <w:t>株距15</w:t>
      </w:r>
      <w:r>
        <w:rPr>
          <w:rFonts w:ascii="宋体" w:eastAsia="宋体" w:hAnsi="宋体" w:hint="eastAsia"/>
          <w:color w:val="000000"/>
        </w:rPr>
        <w:t>cm-20cm，</w:t>
      </w:r>
      <w:r>
        <w:rPr>
          <w:rFonts w:ascii="宋体" w:eastAsia="宋体" w:hAnsi="宋体" w:hint="eastAsia"/>
        </w:rPr>
        <w:t>按选择株行的编号顺序进行种植，并做标记。</w:t>
      </w:r>
    </w:p>
    <w:p w:rsidR="00D746D0" w:rsidRDefault="00E458C5">
      <w:pPr>
        <w:pStyle w:val="ae"/>
        <w:ind w:firstLineChars="0" w:firstLine="0"/>
        <w:rPr>
          <w:rFonts w:ascii="黑体" w:eastAsia="黑体" w:hAnsi="黑体"/>
        </w:rPr>
      </w:pPr>
      <w:r>
        <w:rPr>
          <w:rFonts w:ascii="黑体" w:eastAsia="黑体" w:hAnsi="黑体" w:hint="eastAsia"/>
        </w:rPr>
        <w:t>4.4.2  田间鉴定</w:t>
      </w:r>
    </w:p>
    <w:p w:rsidR="00D746D0" w:rsidRDefault="00E458C5">
      <w:pPr>
        <w:pStyle w:val="a"/>
        <w:numPr>
          <w:ilvl w:val="0"/>
          <w:numId w:val="0"/>
        </w:numPr>
        <w:spacing w:before="312" w:after="312"/>
        <w:rPr>
          <w:rFonts w:ascii="宋体" w:eastAsia="宋体" w:hAnsi="宋体"/>
        </w:rPr>
      </w:pPr>
      <w:r>
        <w:rPr>
          <w:rFonts w:ascii="宋体" w:eastAsia="宋体" w:hAnsi="宋体" w:hint="eastAsia"/>
        </w:rPr>
        <w:t xml:space="preserve">    在开花期、结荚期、收获期关键生育阶段按马牙蚕豆典型性状和丰产性进行观察记载和比较鉴定，并进行标记。及时拔除杂株，防止发生混杂。</w:t>
      </w:r>
    </w:p>
    <w:p w:rsidR="00D746D0" w:rsidRDefault="00E458C5">
      <w:pPr>
        <w:pStyle w:val="ae"/>
        <w:ind w:firstLineChars="0" w:firstLine="0"/>
        <w:rPr>
          <w:rFonts w:ascii="黑体" w:eastAsia="黑体" w:hAnsi="黑体"/>
        </w:rPr>
      </w:pPr>
      <w:r>
        <w:rPr>
          <w:rFonts w:ascii="黑体" w:eastAsia="黑体" w:hAnsi="黑体" w:hint="eastAsia"/>
        </w:rPr>
        <w:t>4.4.3 收获</w:t>
      </w:r>
    </w:p>
    <w:p w:rsidR="00D746D0" w:rsidRDefault="00E458C5">
      <w:pPr>
        <w:pStyle w:val="a"/>
        <w:numPr>
          <w:ilvl w:val="0"/>
          <w:numId w:val="0"/>
        </w:numPr>
        <w:spacing w:before="312" w:after="312"/>
        <w:rPr>
          <w:rFonts w:ascii="宋体" w:eastAsia="宋体" w:hAnsi="宋体"/>
        </w:rPr>
      </w:pPr>
      <w:r>
        <w:rPr>
          <w:rFonts w:ascii="宋体" w:eastAsia="宋体" w:hAnsi="宋体" w:hint="eastAsia"/>
        </w:rPr>
        <w:t xml:space="preserve">   蚕豆成熟后，按系进行收获，经室内鉴定，对种性恢复，生产力提高的典型株系进行混合。</w:t>
      </w:r>
    </w:p>
    <w:p w:rsidR="00D746D0" w:rsidRDefault="00E458C5">
      <w:pPr>
        <w:pStyle w:val="a0"/>
        <w:numPr>
          <w:ilvl w:val="1"/>
          <w:numId w:val="5"/>
        </w:numPr>
        <w:spacing w:before="156" w:after="156"/>
        <w:rPr>
          <w:rFonts w:hAnsi="黑体"/>
        </w:rPr>
      </w:pPr>
      <w:r>
        <w:rPr>
          <w:rFonts w:hAnsi="黑体" w:hint="eastAsia"/>
        </w:rPr>
        <w:t>原种圃繁殖</w:t>
      </w:r>
    </w:p>
    <w:p w:rsidR="00D746D0" w:rsidRDefault="00E458C5">
      <w:pPr>
        <w:pStyle w:val="ae"/>
        <w:ind w:firstLineChars="0" w:firstLine="0"/>
        <w:rPr>
          <w:rFonts w:ascii="黑体" w:eastAsia="黑体" w:hAnsi="黑体"/>
        </w:rPr>
      </w:pPr>
      <w:r>
        <w:rPr>
          <w:rFonts w:ascii="黑体" w:eastAsia="黑体" w:hAnsi="黑体" w:hint="eastAsia"/>
        </w:rPr>
        <w:lastRenderedPageBreak/>
        <w:t>4.5.1  播种</w:t>
      </w:r>
    </w:p>
    <w:p w:rsidR="00D746D0" w:rsidRDefault="00E458C5">
      <w:pPr>
        <w:pStyle w:val="a"/>
        <w:numPr>
          <w:ilvl w:val="0"/>
          <w:numId w:val="0"/>
        </w:numPr>
        <w:spacing w:before="312" w:after="312"/>
        <w:rPr>
          <w:rFonts w:ascii="宋体" w:eastAsia="宋体" w:hAnsi="宋体"/>
        </w:rPr>
      </w:pPr>
      <w:r>
        <w:rPr>
          <w:rFonts w:ascii="宋体" w:eastAsia="宋体" w:hAnsi="宋体" w:hint="eastAsia"/>
        </w:rPr>
        <w:t xml:space="preserve">    将上年收获的株系圃种子在原种圃进行种植，种植行距40cm-50cm,株距20cm-25cm ，促进蚕豆分蘖，提高蚕豆繁殖系数，种植按DB63/T535-2005 执行。</w:t>
      </w:r>
    </w:p>
    <w:p w:rsidR="00D746D0" w:rsidRDefault="00E458C5">
      <w:pPr>
        <w:pStyle w:val="ae"/>
        <w:ind w:firstLineChars="0" w:firstLine="0"/>
        <w:rPr>
          <w:rFonts w:ascii="黑体" w:eastAsia="黑体" w:hAnsi="黑体"/>
        </w:rPr>
      </w:pPr>
      <w:r>
        <w:rPr>
          <w:rFonts w:ascii="黑体" w:eastAsia="黑体" w:hAnsi="黑体" w:hint="eastAsia"/>
        </w:rPr>
        <w:t>4.5.2  去杂去劣</w:t>
      </w:r>
    </w:p>
    <w:p w:rsidR="00D746D0" w:rsidRDefault="00E458C5">
      <w:pPr>
        <w:pStyle w:val="a"/>
        <w:numPr>
          <w:ilvl w:val="0"/>
          <w:numId w:val="0"/>
        </w:numPr>
        <w:spacing w:before="312" w:after="312"/>
        <w:rPr>
          <w:rFonts w:ascii="宋体" w:eastAsia="宋体" w:hAnsi="宋体"/>
        </w:rPr>
      </w:pPr>
      <w:r>
        <w:rPr>
          <w:rFonts w:ascii="宋体" w:eastAsia="宋体" w:hAnsi="宋体" w:hint="eastAsia"/>
        </w:rPr>
        <w:t xml:space="preserve">    在马牙蚕豆性状表现明显的花期、成熟期进行去杂去劣，去杂去劣的同时拔除病株,选择标准按照附录A。</w:t>
      </w:r>
    </w:p>
    <w:p w:rsidR="00D746D0" w:rsidRDefault="00E458C5">
      <w:pPr>
        <w:pStyle w:val="ae"/>
        <w:ind w:firstLineChars="0" w:firstLine="0"/>
        <w:rPr>
          <w:rFonts w:ascii="黑体" w:eastAsia="黑体" w:hAnsi="黑体"/>
        </w:rPr>
      </w:pPr>
      <w:r>
        <w:rPr>
          <w:rFonts w:ascii="黑体" w:eastAsia="黑体" w:hAnsi="黑体" w:hint="eastAsia"/>
        </w:rPr>
        <w:t>4.5.3  收获</w:t>
      </w:r>
    </w:p>
    <w:p w:rsidR="00D746D0" w:rsidRDefault="00E458C5">
      <w:pPr>
        <w:pStyle w:val="a"/>
        <w:numPr>
          <w:ilvl w:val="0"/>
          <w:numId w:val="0"/>
        </w:numPr>
        <w:spacing w:before="312" w:after="312"/>
        <w:ind w:firstLineChars="200" w:firstLine="420"/>
        <w:rPr>
          <w:rFonts w:ascii="宋体" w:eastAsia="宋体" w:hAnsi="宋体"/>
        </w:rPr>
      </w:pPr>
      <w:r>
        <w:rPr>
          <w:rFonts w:ascii="宋体" w:eastAsia="宋体" w:hAnsi="宋体" w:hint="eastAsia"/>
        </w:rPr>
        <w:t>收获时要严防机械混杂及其他因素造成混杂，收获的种子即为原种，可供下年种植。</w:t>
      </w:r>
    </w:p>
    <w:p w:rsidR="00D746D0" w:rsidRDefault="00E458C5">
      <w:pPr>
        <w:pStyle w:val="a"/>
        <w:spacing w:before="312" w:after="312"/>
      </w:pPr>
      <w:r>
        <w:rPr>
          <w:rFonts w:hint="eastAsia"/>
        </w:rPr>
        <w:t>种子质量和检验</w:t>
      </w:r>
    </w:p>
    <w:p w:rsidR="00D746D0" w:rsidRDefault="00E458C5">
      <w:pPr>
        <w:pStyle w:val="a"/>
        <w:numPr>
          <w:ilvl w:val="0"/>
          <w:numId w:val="0"/>
        </w:numPr>
        <w:spacing w:before="312" w:after="312"/>
        <w:ind w:firstLine="420"/>
        <w:rPr>
          <w:rFonts w:ascii="宋体" w:eastAsia="宋体" w:hAnsi="宋体"/>
        </w:rPr>
      </w:pPr>
      <w:r>
        <w:rPr>
          <w:rFonts w:ascii="宋体" w:eastAsia="宋体" w:hAnsi="宋体" w:hint="eastAsia"/>
        </w:rPr>
        <w:t>收获的种子晒种、精选后进行质量检验，检验按GB/T3543执行，种子质量应符合GB4404.2。</w:t>
      </w:r>
    </w:p>
    <w:p w:rsidR="00D746D0" w:rsidRDefault="00E458C5">
      <w:pPr>
        <w:pStyle w:val="ae"/>
        <w:ind w:firstLineChars="0" w:firstLine="0"/>
        <w:rPr>
          <w:rFonts w:ascii="黑体" w:eastAsia="黑体"/>
        </w:rPr>
      </w:pPr>
      <w:r>
        <w:rPr>
          <w:rFonts w:hint="eastAsia"/>
        </w:rPr>
        <w:t xml:space="preserve">6 </w:t>
      </w:r>
      <w:r>
        <w:rPr>
          <w:rFonts w:ascii="黑体" w:eastAsia="黑体" w:hint="eastAsia"/>
        </w:rPr>
        <w:t xml:space="preserve"> 种子贮藏</w:t>
      </w:r>
    </w:p>
    <w:p w:rsidR="00D746D0" w:rsidRDefault="00E458C5">
      <w:pPr>
        <w:pStyle w:val="a"/>
        <w:numPr>
          <w:ilvl w:val="0"/>
          <w:numId w:val="0"/>
        </w:numPr>
        <w:spacing w:before="312" w:after="312"/>
        <w:ind w:firstLineChars="200" w:firstLine="420"/>
        <w:rPr>
          <w:rFonts w:ascii="宋体" w:eastAsia="宋体" w:hAnsi="宋体"/>
        </w:rPr>
      </w:pPr>
      <w:r>
        <w:rPr>
          <w:rFonts w:ascii="宋体" w:eastAsia="宋体" w:hAnsi="宋体" w:hint="eastAsia"/>
        </w:rPr>
        <w:t>选择符合种子贮藏条件的仓库贮藏种子，贮藏时做好标记，单独贮藏，仓库做好防潮、防鼠。</w:t>
      </w:r>
    </w:p>
    <w:p w:rsidR="00D746D0" w:rsidRDefault="00D746D0">
      <w:pPr>
        <w:pStyle w:val="ae"/>
        <w:ind w:firstLineChars="0" w:firstLine="0"/>
      </w:pPr>
    </w:p>
    <w:p w:rsidR="00D746D0" w:rsidRDefault="00D746D0">
      <w:pPr>
        <w:pStyle w:val="ae"/>
        <w:ind w:firstLineChars="0" w:firstLine="0"/>
      </w:pPr>
    </w:p>
    <w:p w:rsidR="00D746D0" w:rsidRDefault="00D746D0">
      <w:pPr>
        <w:pStyle w:val="ae"/>
      </w:pPr>
    </w:p>
    <w:p w:rsidR="00D746D0" w:rsidRDefault="00D746D0">
      <w:pPr>
        <w:pStyle w:val="a3"/>
      </w:pPr>
    </w:p>
    <w:p w:rsidR="00D746D0" w:rsidRDefault="00D746D0">
      <w:pPr>
        <w:pStyle w:val="a4"/>
      </w:pPr>
    </w:p>
    <w:p w:rsidR="00D746D0" w:rsidRDefault="00E458C5">
      <w:pPr>
        <w:pStyle w:val="a5"/>
      </w:pPr>
      <w:r>
        <w:br/>
      </w:r>
      <w:r>
        <w:rPr>
          <w:rFonts w:hint="eastAsia"/>
        </w:rPr>
        <w:t>（资料性附录）</w:t>
      </w:r>
      <w:r>
        <w:br/>
      </w:r>
      <w:r>
        <w:rPr>
          <w:rFonts w:hint="eastAsia"/>
        </w:rPr>
        <w:t>马牙蚕豆</w:t>
      </w:r>
    </w:p>
    <w:p w:rsidR="00D746D0" w:rsidRDefault="00E458C5">
      <w:pPr>
        <w:pStyle w:val="ae"/>
        <w:rPr>
          <w:rFonts w:ascii="黑体" w:eastAsia="黑体" w:hAnsi="黑体"/>
        </w:rPr>
      </w:pPr>
      <w:r>
        <w:rPr>
          <w:rFonts w:ascii="黑体" w:eastAsia="黑体" w:hAnsi="黑体" w:hint="eastAsia"/>
        </w:rPr>
        <w:t>A.1　品种来源</w:t>
      </w:r>
    </w:p>
    <w:p w:rsidR="00D746D0" w:rsidRDefault="00E458C5">
      <w:pPr>
        <w:pStyle w:val="a"/>
        <w:numPr>
          <w:ilvl w:val="0"/>
          <w:numId w:val="0"/>
        </w:numPr>
        <w:spacing w:before="312" w:after="312"/>
        <w:rPr>
          <w:rFonts w:ascii="宋体" w:eastAsia="宋体" w:hAnsi="宋体"/>
        </w:rPr>
      </w:pPr>
      <w:r>
        <w:rPr>
          <w:rFonts w:ascii="宋体" w:eastAsia="宋体" w:hAnsi="宋体" w:hint="eastAsia"/>
        </w:rPr>
        <w:t xml:space="preserve">    马牙蚕豆是我省湟源县种植悠久的农家品种，该品种于1997年经湟源县种子站、湟源县农业技术推广中心提纯而成。属</w:t>
      </w:r>
      <w:r>
        <w:rPr>
          <w:rFonts w:ascii="宋体" w:eastAsia="宋体" w:hAnsi="宋体" w:hint="eastAsia"/>
          <w:color w:val="000000"/>
        </w:rPr>
        <w:t xml:space="preserve">Vicia faba </w:t>
      </w:r>
      <w:r>
        <w:rPr>
          <w:rFonts w:ascii="宋体" w:eastAsia="宋体" w:hAnsi="宋体" w:hint="eastAsia"/>
        </w:rPr>
        <w:t>Var.major变种。2005年1月10日青海省第六届农作物品种审定委员会第五次会议审定通过，现定名马牙蚕豆，品种合格证号为青种合字第0189号。</w:t>
      </w:r>
    </w:p>
    <w:p w:rsidR="00D746D0" w:rsidRDefault="00E458C5">
      <w:pPr>
        <w:pStyle w:val="ae"/>
        <w:rPr>
          <w:rFonts w:ascii="黑体" w:eastAsia="黑体" w:hAnsi="黑体"/>
        </w:rPr>
      </w:pPr>
      <w:r>
        <w:rPr>
          <w:rFonts w:ascii="黑体" w:eastAsia="黑体" w:hAnsi="黑体" w:hint="eastAsia"/>
        </w:rPr>
        <w:t>A.2　品种特征特性</w:t>
      </w:r>
    </w:p>
    <w:p w:rsidR="00D746D0" w:rsidRDefault="00D746D0">
      <w:pPr>
        <w:pStyle w:val="ae"/>
        <w:rPr>
          <w:rFonts w:ascii="黑体" w:eastAsia="黑体" w:hAnsi="黑体"/>
        </w:rPr>
      </w:pPr>
    </w:p>
    <w:p w:rsidR="00D746D0" w:rsidRDefault="00E458C5">
      <w:pPr>
        <w:pStyle w:val="ae"/>
        <w:rPr>
          <w:rFonts w:ascii="黑体" w:eastAsia="黑体" w:hAnsi="黑体"/>
        </w:rPr>
      </w:pPr>
      <w:r>
        <w:rPr>
          <w:rFonts w:ascii="黑体" w:eastAsia="黑体" w:hAnsi="黑体" w:hint="eastAsia"/>
        </w:rPr>
        <w:t>植株性状</w:t>
      </w:r>
    </w:p>
    <w:p w:rsidR="00D746D0" w:rsidRDefault="00E458C5">
      <w:pPr>
        <w:pStyle w:val="a"/>
        <w:numPr>
          <w:ilvl w:val="0"/>
          <w:numId w:val="0"/>
        </w:numPr>
        <w:spacing w:before="312" w:after="312"/>
        <w:rPr>
          <w:rFonts w:ascii="宋体" w:eastAsia="宋体" w:hAnsi="宋体"/>
        </w:rPr>
      </w:pPr>
      <w:r>
        <w:rPr>
          <w:rFonts w:ascii="宋体" w:eastAsia="宋体" w:hAnsi="宋体" w:hint="eastAsia"/>
        </w:rPr>
        <w:t xml:space="preserve">    幼苗直立，茎浅绿色。主茎绿色，四棱方型，主茎粗0. 79±0. 30厘米，株高135. 00±8. 50厘米，茎节数21. 00±1. 60个，节间长度6. 42±0. 20厘米／节，单株有效分枝2. 80±0. 21个，有效分枝率80. 00％。初生叶卵圆形、绿色；托叶浅绿色。开花期中部叶片长椭圆形，主茎第四层复叶的叶长7. 50±0. 11厘米，宽3. 80±0. 03厘米，复叶平均小叶数4. 50±0. 02片。叶姿上举，株型紧凑。</w:t>
      </w:r>
    </w:p>
    <w:p w:rsidR="00D746D0" w:rsidRDefault="00E458C5">
      <w:pPr>
        <w:pStyle w:val="ae"/>
        <w:rPr>
          <w:rFonts w:ascii="黑体" w:eastAsia="黑体" w:hAnsi="黑体"/>
        </w:rPr>
      </w:pPr>
      <w:r>
        <w:rPr>
          <w:rFonts w:ascii="黑体" w:eastAsia="黑体" w:hAnsi="黑体" w:hint="eastAsia"/>
        </w:rPr>
        <w:t>花荚性状</w:t>
      </w:r>
    </w:p>
    <w:p w:rsidR="00D746D0" w:rsidRDefault="00E458C5">
      <w:pPr>
        <w:pStyle w:val="a"/>
        <w:numPr>
          <w:ilvl w:val="0"/>
          <w:numId w:val="0"/>
        </w:numPr>
        <w:spacing w:before="312" w:after="312"/>
        <w:rPr>
          <w:rFonts w:ascii="宋体" w:eastAsia="宋体" w:hAnsi="宋体"/>
        </w:rPr>
      </w:pPr>
      <w:r>
        <w:rPr>
          <w:rFonts w:ascii="宋体" w:eastAsia="宋体" w:hAnsi="宋体" w:hint="eastAsia"/>
        </w:rPr>
        <w:t xml:space="preserve">    总状花序，主茎始花节5. 80±0. 60节，始花节高20. 80±0. 56厘米，终花节18. 20±0. 28节，终花节高80. 10±18. 30厘米。总花节数12. 40±2. 00节，每节最多小花数6-7朵，每簇花序由4. 51±1. 50朵小花组成，花序长4. 63±0. 20厘米，小花长2. 80±0. 30厘米。花白色、旗瓣白色，脉纹浅褐色，翼瓣白色，中央有一黑色圆斑，龙骨瓣白绿色。主茎始荚高23. 50±2. 50厘米，主茎结荚7. 30±2. 10层，主茎荚数9. 20±1. 50个，单株荚数14. 60±4. 90个、单株有效荚数12. 40±1. 40个，实荚率81. 00%,荚果着生呈半直立形，荚长8. 00±2. 40厘米，宽1. 80±0. 10厘米，每荚1. 90±0. 08粒，主茎着荚密度0. 40±0. 06荚／节，成熟荚黑褐色。</w:t>
      </w:r>
    </w:p>
    <w:p w:rsidR="00D746D0" w:rsidRDefault="00E458C5">
      <w:pPr>
        <w:pStyle w:val="ae"/>
        <w:rPr>
          <w:rFonts w:ascii="黑体" w:eastAsia="黑体" w:hAnsi="黑体"/>
        </w:rPr>
      </w:pPr>
      <w:r>
        <w:rPr>
          <w:rFonts w:ascii="黑体" w:eastAsia="黑体" w:hAnsi="黑体" w:hint="eastAsia"/>
        </w:rPr>
        <w:t>籽粒性状</w:t>
      </w:r>
    </w:p>
    <w:p w:rsidR="00D746D0" w:rsidRDefault="00E458C5">
      <w:pPr>
        <w:pStyle w:val="a"/>
        <w:numPr>
          <w:ilvl w:val="0"/>
          <w:numId w:val="0"/>
        </w:numPr>
        <w:spacing w:before="312" w:after="312"/>
        <w:rPr>
          <w:rFonts w:ascii="宋体" w:eastAsia="宋体" w:hAnsi="宋体"/>
        </w:rPr>
      </w:pPr>
      <w:r>
        <w:rPr>
          <w:rFonts w:ascii="宋体" w:eastAsia="宋体" w:hAnsi="宋体" w:hint="eastAsia"/>
        </w:rPr>
        <w:t xml:space="preserve">    种皮乳白色，有光泽，半透明，种脐黑色，籽粒呈中厚型，颗粒似马齿，种子长2. 33±0. 22厘米，宽1. 38±0. 03厘米，脐端厚0. 74±0. 02厘米，末端厚0. 41±0. 05厘米，种皮破裂率0. 25%,硬粒率0. 10％。</w:t>
      </w:r>
    </w:p>
    <w:p w:rsidR="00D746D0" w:rsidRDefault="00E458C5">
      <w:pPr>
        <w:pStyle w:val="ae"/>
        <w:rPr>
          <w:rFonts w:ascii="黑体" w:eastAsia="黑体" w:hAnsi="黑体"/>
        </w:rPr>
      </w:pPr>
      <w:r>
        <w:rPr>
          <w:rFonts w:ascii="黑体" w:eastAsia="黑体" w:hAnsi="黑体" w:hint="eastAsia"/>
        </w:rPr>
        <w:t>经济性状</w:t>
      </w:r>
    </w:p>
    <w:p w:rsidR="00D746D0" w:rsidRDefault="00E458C5">
      <w:pPr>
        <w:pStyle w:val="a"/>
        <w:numPr>
          <w:ilvl w:val="0"/>
          <w:numId w:val="0"/>
        </w:numPr>
        <w:spacing w:before="312" w:after="312"/>
        <w:rPr>
          <w:rFonts w:ascii="宋体" w:eastAsia="宋体" w:hAnsi="宋体"/>
        </w:rPr>
      </w:pPr>
      <w:r>
        <w:rPr>
          <w:rFonts w:ascii="宋体" w:eastAsia="宋体" w:hAnsi="宋体" w:hint="eastAsia"/>
        </w:rPr>
        <w:t xml:space="preserve">    单株粒数20. 00±4. 80粒，单株产量26. 00±1. 43克，百粒重135. 00±5. 00克。经济系数0. 40.籽粒含淀粉47. 30%,粗脂肪1. 48%,粗蛋白质28. 20%。</w:t>
      </w:r>
    </w:p>
    <w:p w:rsidR="00D746D0" w:rsidRDefault="00E458C5">
      <w:pPr>
        <w:pStyle w:val="ae"/>
        <w:rPr>
          <w:rFonts w:ascii="黑体" w:eastAsia="黑体" w:hAnsi="黑体"/>
        </w:rPr>
      </w:pPr>
      <w:r>
        <w:rPr>
          <w:rFonts w:ascii="黑体" w:eastAsia="黑体" w:hAnsi="黑体" w:hint="eastAsia"/>
        </w:rPr>
        <w:lastRenderedPageBreak/>
        <w:t>属性和生育期</w:t>
      </w:r>
    </w:p>
    <w:p w:rsidR="00D746D0" w:rsidRDefault="00E458C5">
      <w:pPr>
        <w:pStyle w:val="a"/>
        <w:numPr>
          <w:ilvl w:val="0"/>
          <w:numId w:val="0"/>
        </w:numPr>
        <w:spacing w:before="312" w:after="312"/>
        <w:rPr>
          <w:rFonts w:ascii="宋体" w:eastAsia="宋体" w:hAnsi="宋体"/>
        </w:rPr>
      </w:pPr>
      <w:r>
        <w:rPr>
          <w:rFonts w:ascii="宋体" w:eastAsia="宋体" w:hAnsi="宋体" w:hint="eastAsia"/>
        </w:rPr>
        <w:t xml:space="preserve">    春性、中晚熟品种。播种至出苗31±1天，期间≥0℃积温145. 60±3. 57℃;出苗至分枝8±1天，期间≥5℃积温108. 00±18. 64℃;分枝至开花32±1元，期间≥5℃积温294. 60±15. 41℃;开花至成熟82±3天，期间≥5℃积温1397. 50±16. 36℃;生育期129±2天，期间≥5℃积温1800. 00±18. 90℃;全生育期160±2天，期间≥0℃，积温1945. 00±18. 90℃。</w:t>
      </w:r>
    </w:p>
    <w:p w:rsidR="00D746D0" w:rsidRDefault="00D746D0">
      <w:pPr>
        <w:pStyle w:val="ae"/>
      </w:pPr>
    </w:p>
    <w:p w:rsidR="00D746D0" w:rsidRDefault="00D746D0"/>
    <w:sectPr w:rsidR="00D746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DF2" w:rsidRDefault="001C4DF2">
      <w:r>
        <w:separator/>
      </w:r>
    </w:p>
  </w:endnote>
  <w:endnote w:type="continuationSeparator" w:id="0">
    <w:p w:rsidR="001C4DF2" w:rsidRDefault="001C4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6D0" w:rsidRDefault="00E458C5">
    <w:pPr>
      <w:pStyle w:val="aa"/>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D746D0" w:rsidRDefault="00E458C5">
                          <w:pPr>
                            <w:pStyle w:val="aa"/>
                          </w:pPr>
                          <w:r>
                            <w:fldChar w:fldCharType="begin"/>
                          </w:r>
                          <w:r>
                            <w:instrText xml:space="preserve"> PAGE  \* MERGEFORMAT </w:instrText>
                          </w:r>
                          <w:r>
                            <w:fldChar w:fldCharType="separate"/>
                          </w:r>
                          <w:r w:rsidR="00CE359C">
                            <w:rPr>
                              <w:noProof/>
                            </w:rP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" filled="f" fillcolor="white [3201]" stroked="f" strokeweight=".5pt">
              <v:textbox style="mso-fit-shape-to-text:t" inset="0,0,0,0">
                <w:txbxContent>
                  <w:p w:rsidR="00D746D0" w:rsidRDefault="00E458C5">
                    <w:pPr>
                      <w:pStyle w:val="aa"/>
                    </w:pPr>
                    <w:r>
                      <w:fldChar w:fldCharType="begin"/>
                    </w:r>
                    <w:r>
                      <w:instrText xml:space="preserve"> PAGE  \* MERGEFORMAT </w:instrText>
                    </w:r>
                    <w:r>
                      <w:fldChar w:fldCharType="separate"/>
                    </w:r>
                    <w:r w:rsidR="00CE359C">
                      <w:rPr>
                        <w:noProof/>
                      </w:rPr>
                      <w:t>0</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6D0" w:rsidRDefault="00E458C5">
    <w:pPr>
      <w:pStyle w:val="aa"/>
    </w:pPr>
    <w:r>
      <w:rPr>
        <w:noProof/>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746D0" w:rsidRDefault="00E458C5">
                          <w:pPr>
                            <w:pStyle w:val="aa"/>
                          </w:pPr>
                          <w:r>
                            <w:fldChar w:fldCharType="begin"/>
                          </w:r>
                          <w:r>
                            <w:instrText xml:space="preserve"> PAGE  \* MERGEFORMAT </w:instrText>
                          </w:r>
                          <w:r>
                            <w:fldChar w:fldCharType="separate"/>
                          </w:r>
                          <w:r w:rsidR="00CE359C">
                            <w:rPr>
                              <w:noProof/>
                            </w:rP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7" type="#_x0000_t202" style="position:absolute;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B8mw1oYgIAABEFAAAOAAAAAAAAAAAAAAAAAC4CAABkcnMvZTJvRG9jLnht&#10;bFBLAQItABQABgAIAAAAIQBxqtG51wAAAAUBAAAPAAAAAAAAAAAAAAAAALwEAABkcnMvZG93bnJl&#10;di54bWxQSwUGAAAAAAQABADzAAAAwAUAAAAA&#10;" filled="f" stroked="f" strokeweight=".5pt">
              <v:textbox style="mso-fit-shape-to-text:t" inset="0,0,0,0">
                <w:txbxContent>
                  <w:p w:rsidR="00D746D0" w:rsidRDefault="00E458C5">
                    <w:pPr>
                      <w:pStyle w:val="aa"/>
                    </w:pPr>
                    <w:r>
                      <w:fldChar w:fldCharType="begin"/>
                    </w:r>
                    <w:r>
                      <w:instrText xml:space="preserve"> PAGE  \* MERGEFORMAT </w:instrText>
                    </w:r>
                    <w:r>
                      <w:fldChar w:fldCharType="separate"/>
                    </w:r>
                    <w:r w:rsidR="00CE359C">
                      <w:rPr>
                        <w:noProof/>
                      </w:rPr>
                      <w:t>6</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DF2" w:rsidRDefault="001C4DF2">
      <w:r>
        <w:separator/>
      </w:r>
    </w:p>
  </w:footnote>
  <w:footnote w:type="continuationSeparator" w:id="0">
    <w:p w:rsidR="001C4DF2" w:rsidRDefault="001C4D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6D0" w:rsidRDefault="00E458C5">
    <w:pPr>
      <w:pStyle w:val="ab"/>
      <w:rPr>
        <w:rFonts w:ascii="黑体" w:eastAsia="黑体" w:hAnsi="黑体"/>
      </w:rPr>
    </w:pPr>
    <w:r>
      <w:rPr>
        <w:rFonts w:ascii="黑体" w:eastAsia="黑体" w:hAnsi="黑体"/>
      </w:rPr>
      <w:t>T/××× QHNX—2021</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6D0" w:rsidRDefault="00863627">
    <w:pPr>
      <w:pStyle w:val="ab"/>
      <w:rPr>
        <w:rFonts w:ascii="黑体" w:eastAsia="黑体" w:hAnsi="黑体"/>
      </w:rPr>
    </w:pPr>
    <w:r>
      <w:rPr>
        <w:rFonts w:ascii="黑体" w:eastAsia="黑体" w:hAnsi="黑体"/>
      </w:rPr>
      <w:t>T/QHNX XXX—2024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91163"/>
    <w:multiLevelType w:val="multilevel"/>
    <w:tmpl w:val="1FC91163"/>
    <w:lvl w:ilvl="0">
      <w:start w:val="1"/>
      <w:numFmt w:val="decimal"/>
      <w:pStyle w:val="a"/>
      <w:suff w:val="nothing"/>
      <w:lvlText w:val="%1　"/>
      <w:lvlJc w:val="left"/>
      <w:pPr>
        <w:ind w:left="0" w:firstLine="0"/>
      </w:pPr>
      <w:rPr>
        <w:rFonts w:ascii="黑体" w:eastAsia="黑体" w:hAnsi="Times New Roman" w:hint="eastAsia"/>
        <w:b w:val="0"/>
        <w:i w:val="0"/>
        <w:sz w:val="21"/>
        <w:szCs w:val="21"/>
      </w:rPr>
    </w:lvl>
    <w:lvl w:ilvl="1">
      <w:start w:val="1"/>
      <w:numFmt w:val="decimal"/>
      <w:pStyle w:val="a0"/>
      <w:suff w:val="nothing"/>
      <w:lvlText w:val="%1.%2　"/>
      <w:lvlJc w:val="left"/>
      <w:pPr>
        <w:ind w:left="0"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pStyle w:val="a1"/>
      <w:suff w:val="nothing"/>
      <w:lvlText w:val="%1.%2.%3　"/>
      <w:lvlJc w:val="left"/>
      <w:pPr>
        <w:ind w:left="0" w:firstLine="0"/>
      </w:pPr>
      <w:rPr>
        <w:rFonts w:ascii="黑体" w:eastAsia="黑体" w:hAnsi="Times New Roman" w:hint="eastAsia"/>
        <w:b w:val="0"/>
        <w:i w:val="0"/>
        <w:sz w:val="21"/>
      </w:rPr>
    </w:lvl>
    <w:lvl w:ilvl="3">
      <w:start w:val="1"/>
      <w:numFmt w:val="decimal"/>
      <w:pStyle w:val="a2"/>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 w15:restartNumberingAfterBreak="0">
    <w:nsid w:val="2A8F7113"/>
    <w:multiLevelType w:val="multilevel"/>
    <w:tmpl w:val="2A8F7113"/>
    <w:lvl w:ilvl="0">
      <w:start w:val="1"/>
      <w:numFmt w:val="upperLetter"/>
      <w:pStyle w:val="a3"/>
      <w:suff w:val="space"/>
      <w:lvlText w:val="%1"/>
      <w:lvlJc w:val="left"/>
      <w:pPr>
        <w:ind w:left="623" w:hanging="425"/>
      </w:pPr>
      <w:rPr>
        <w:rFonts w:hint="eastAsia"/>
      </w:rPr>
    </w:lvl>
    <w:lvl w:ilvl="1">
      <w:start w:val="1"/>
      <w:numFmt w:val="decimal"/>
      <w:suff w:val="nothing"/>
      <w:lvlText w:val="图%1.%2　"/>
      <w:lvlJc w:val="left"/>
      <w:pPr>
        <w:ind w:left="1190" w:hanging="567"/>
      </w:pPr>
      <w:rPr>
        <w:rFonts w:hint="eastAsia"/>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2" w15:restartNumberingAfterBreak="0">
    <w:nsid w:val="60B55DC2"/>
    <w:multiLevelType w:val="multilevel"/>
    <w:tmpl w:val="60B55DC2"/>
    <w:lvl w:ilvl="0">
      <w:start w:val="1"/>
      <w:numFmt w:val="upperLetter"/>
      <w:pStyle w:val="a4"/>
      <w:lvlText w:val="%1"/>
      <w:lvlJc w:val="left"/>
      <w:pPr>
        <w:tabs>
          <w:tab w:val="left" w:pos="0"/>
        </w:tabs>
        <w:ind w:left="0" w:hanging="425"/>
      </w:pPr>
      <w:rPr>
        <w:rFonts w:hint="eastAsia"/>
      </w:rPr>
    </w:lvl>
    <w:lvl w:ilvl="1">
      <w:start w:val="1"/>
      <w:numFmt w:val="decimal"/>
      <w:suff w:val="nothing"/>
      <w:lvlText w:val="表%1.%2　"/>
      <w:lvlJc w:val="left"/>
      <w:pPr>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3" w15:restartNumberingAfterBreak="0">
    <w:nsid w:val="657D3FBC"/>
    <w:multiLevelType w:val="multilevel"/>
    <w:tmpl w:val="657D3FBC"/>
    <w:lvl w:ilvl="0">
      <w:start w:val="1"/>
      <w:numFmt w:val="upperLetter"/>
      <w:pStyle w:val="a5"/>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num w:numId="1">
    <w:abstractNumId w:val="0"/>
  </w:num>
  <w:num w:numId="2">
    <w:abstractNumId w:val="1"/>
  </w:num>
  <w:num w:numId="3">
    <w:abstractNumId w:val="2"/>
  </w:num>
  <w:num w:numId="4">
    <w:abstractNumId w:val="3"/>
  </w:num>
  <w:num w:numId="5">
    <w:abstractNumId w:val="0"/>
    <w:lvlOverride w:ilvl="0">
      <w:startOverride w:val="4"/>
    </w:lvlOverride>
    <w:lvlOverride w:ilvl="1">
      <w:startOverride w:val="1"/>
    </w:lvlOverride>
    <w:lvlOverride w:ilvl="2">
      <w:startOverride w:val="2"/>
    </w:lvlOverride>
    <w:lvlOverride w:ilvl="3">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0MWQzMTQ4NTI5YmYyN2Q0Mzk2YmRkYTFhZmU2ZWQifQ=="/>
  </w:docVars>
  <w:rsids>
    <w:rsidRoot w:val="58C11E1D"/>
    <w:rsid w:val="001C4DF2"/>
    <w:rsid w:val="00863627"/>
    <w:rsid w:val="00AD38EE"/>
    <w:rsid w:val="00CE359C"/>
    <w:rsid w:val="00D746D0"/>
    <w:rsid w:val="00E458C5"/>
    <w:rsid w:val="58C11E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0C33BA"/>
  <w15:docId w15:val="{7FA25813-7D49-436C-9B00-A0C576485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rFonts w:ascii="Times New Roman" w:eastAsia="宋体" w:hAnsi="Times New Roman" w:cs="Times New Roman"/>
      <w:kern w:val="2"/>
      <w:sz w:val="21"/>
      <w:szCs w:val="24"/>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footer"/>
    <w:basedOn w:val="a6"/>
    <w:pPr>
      <w:tabs>
        <w:tab w:val="center" w:pos="4153"/>
        <w:tab w:val="right" w:pos="8306"/>
      </w:tabs>
      <w:snapToGrid w:val="0"/>
      <w:jc w:val="left"/>
    </w:pPr>
    <w:rPr>
      <w:sz w:val="18"/>
    </w:rPr>
  </w:style>
  <w:style w:type="paragraph" w:styleId="ab">
    <w:name w:val="header"/>
    <w:basedOn w:val="a6"/>
    <w:qFormat/>
    <w:pPr>
      <w:snapToGrid w:val="0"/>
      <w:jc w:val="left"/>
    </w:pPr>
    <w:rPr>
      <w:sz w:val="18"/>
      <w:szCs w:val="18"/>
    </w:rPr>
  </w:style>
  <w:style w:type="table" w:styleId="ac">
    <w:name w:val="Table Grid"/>
    <w:basedOn w:val="a8"/>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前言、引言标题"/>
    <w:next w:val="ae"/>
    <w:pPr>
      <w:keepNext/>
      <w:pageBreakBefore/>
      <w:shd w:val="clear" w:color="FFFFFF" w:fill="FFFFFF"/>
      <w:spacing w:before="640" w:after="560"/>
      <w:jc w:val="center"/>
      <w:outlineLvl w:val="0"/>
    </w:pPr>
    <w:rPr>
      <w:rFonts w:ascii="黑体" w:eastAsia="黑体" w:hAnsi="Times New Roman" w:cs="Times New Roman"/>
      <w:sz w:val="32"/>
    </w:rPr>
  </w:style>
  <w:style w:type="paragraph" w:customStyle="1" w:styleId="ae">
    <w:name w:val="段"/>
    <w:qFormat/>
    <w:pPr>
      <w:tabs>
        <w:tab w:val="center" w:pos="4201"/>
        <w:tab w:val="right" w:leader="dot" w:pos="9298"/>
      </w:tabs>
      <w:autoSpaceDE w:val="0"/>
      <w:autoSpaceDN w:val="0"/>
      <w:ind w:firstLineChars="200" w:firstLine="420"/>
      <w:jc w:val="both"/>
    </w:pPr>
    <w:rPr>
      <w:rFonts w:ascii="宋体" w:eastAsia="宋体" w:hAnsi="Times New Roman" w:cs="Times New Roman"/>
      <w:sz w:val="21"/>
    </w:rPr>
  </w:style>
  <w:style w:type="paragraph" w:customStyle="1" w:styleId="af">
    <w:name w:val="目次、标准名称标题"/>
    <w:basedOn w:val="a6"/>
    <w:next w:val="ae"/>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
    <w:name w:val="章标题"/>
    <w:next w:val="ae"/>
    <w:qFormat/>
    <w:pPr>
      <w:numPr>
        <w:numId w:val="1"/>
      </w:numPr>
      <w:spacing w:beforeLines="100" w:afterLines="100"/>
      <w:jc w:val="both"/>
      <w:outlineLvl w:val="1"/>
    </w:pPr>
    <w:rPr>
      <w:rFonts w:ascii="黑体" w:eastAsia="黑体" w:hAnsi="Times New Roman" w:cs="Times New Roman"/>
      <w:sz w:val="21"/>
    </w:rPr>
  </w:style>
  <w:style w:type="paragraph" w:customStyle="1" w:styleId="a1">
    <w:name w:val="二级条标题"/>
    <w:basedOn w:val="a0"/>
    <w:next w:val="ae"/>
    <w:qFormat/>
    <w:pPr>
      <w:numPr>
        <w:ilvl w:val="2"/>
      </w:numPr>
      <w:spacing w:before="50" w:after="50"/>
      <w:outlineLvl w:val="3"/>
    </w:pPr>
  </w:style>
  <w:style w:type="paragraph" w:customStyle="1" w:styleId="a0">
    <w:name w:val="一级条标题"/>
    <w:next w:val="ae"/>
    <w:qFormat/>
    <w:pPr>
      <w:numPr>
        <w:ilvl w:val="1"/>
        <w:numId w:val="1"/>
      </w:numPr>
      <w:spacing w:beforeLines="50" w:afterLines="50"/>
      <w:outlineLvl w:val="2"/>
    </w:pPr>
    <w:rPr>
      <w:rFonts w:ascii="黑体" w:eastAsia="黑体" w:hAnsi="Times New Roman" w:cs="Times New Roman"/>
      <w:sz w:val="21"/>
      <w:szCs w:val="21"/>
    </w:rPr>
  </w:style>
  <w:style w:type="paragraph" w:customStyle="1" w:styleId="a2">
    <w:name w:val="三级条标题"/>
    <w:basedOn w:val="a1"/>
    <w:next w:val="ae"/>
    <w:qFormat/>
    <w:pPr>
      <w:numPr>
        <w:ilvl w:val="3"/>
      </w:numPr>
      <w:outlineLvl w:val="4"/>
    </w:pPr>
  </w:style>
  <w:style w:type="paragraph" w:customStyle="1" w:styleId="a3">
    <w:name w:val="附录图标号"/>
    <w:basedOn w:val="a6"/>
    <w:qFormat/>
    <w:pPr>
      <w:keepNext/>
      <w:pageBreakBefore/>
      <w:widowControl/>
      <w:numPr>
        <w:numId w:val="2"/>
      </w:numPr>
      <w:spacing w:line="14" w:lineRule="exact"/>
      <w:ind w:left="0" w:firstLine="363"/>
      <w:jc w:val="center"/>
      <w:outlineLvl w:val="0"/>
    </w:pPr>
    <w:rPr>
      <w:color w:val="FFFFFF"/>
    </w:rPr>
  </w:style>
  <w:style w:type="paragraph" w:customStyle="1" w:styleId="a4">
    <w:name w:val="附录表标号"/>
    <w:basedOn w:val="a6"/>
    <w:next w:val="ae"/>
    <w:pPr>
      <w:numPr>
        <w:numId w:val="3"/>
      </w:numPr>
      <w:tabs>
        <w:tab w:val="clear" w:pos="0"/>
      </w:tabs>
      <w:spacing w:line="14" w:lineRule="exact"/>
      <w:ind w:left="811" w:hanging="448"/>
      <w:jc w:val="center"/>
      <w:outlineLvl w:val="0"/>
    </w:pPr>
    <w:rPr>
      <w:color w:val="FFFFFF"/>
    </w:rPr>
  </w:style>
  <w:style w:type="paragraph" w:customStyle="1" w:styleId="a5">
    <w:name w:val="附录标识"/>
    <w:basedOn w:val="a6"/>
    <w:next w:val="ae"/>
    <w:qFormat/>
    <w:pPr>
      <w:keepNext/>
      <w:widowControl/>
      <w:numPr>
        <w:numId w:val="4"/>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af0">
    <w:name w:val="标准书脚_奇数页"/>
    <w:qFormat/>
    <w:pPr>
      <w:spacing w:before="120"/>
      <w:ind w:right="198"/>
      <w:jc w:val="right"/>
    </w:pPr>
    <w:rPr>
      <w:rFonts w:ascii="宋体" w:eastAsia="宋体" w:hAnsi="Times New Roman" w:cs="Times New Roman"/>
      <w:sz w:val="18"/>
      <w:szCs w:val="18"/>
    </w:rPr>
  </w:style>
  <w:style w:type="paragraph" w:customStyle="1" w:styleId="3">
    <w:name w:val="标准称谓3"/>
    <w:next w:val="a6"/>
    <w:qFormat/>
    <w:pPr>
      <w:framePr w:w="9639" w:h="624" w:hRule="exact" w:hSpace="181" w:vSpace="181" w:wrap="around" w:vAnchor="page" w:hAnchor="page" w:x="1305" w:y="2269" w:anchorLock="1"/>
      <w:widowControl w:val="0"/>
      <w:kinsoku w:val="0"/>
      <w:overflowPunct w:val="0"/>
      <w:autoSpaceDE w:val="0"/>
      <w:autoSpaceDN w:val="0"/>
      <w:spacing w:line="0" w:lineRule="atLeast"/>
      <w:jc w:val="distribute"/>
    </w:pPr>
    <w:rPr>
      <w:rFonts w:ascii="黑体" w:eastAsia="黑体" w:hAnsi="Times New Roman" w:cs="Times New Roman" w:hint="eastAsia"/>
      <w:sz w:val="48"/>
    </w:rPr>
  </w:style>
  <w:style w:type="paragraph" w:customStyle="1" w:styleId="2">
    <w:name w:val="封面标准号2"/>
    <w:qFormat/>
    <w:pPr>
      <w:framePr w:w="9355" w:h="624" w:hRule="exact" w:hSpace="181" w:vSpace="181" w:wrap="around" w:vAnchor="page" w:hAnchor="page" w:x="1419" w:y="3284"/>
      <w:spacing w:line="280" w:lineRule="exact"/>
      <w:jc w:val="right"/>
    </w:pPr>
    <w:rPr>
      <w:rFonts w:ascii="黑体" w:eastAsia="黑体" w:hAnsi="Times New Roman" w:cs="Times New Roman" w:hint="eastAsia"/>
      <w:sz w:val="28"/>
    </w:rPr>
  </w:style>
  <w:style w:type="paragraph" w:customStyle="1" w:styleId="af1">
    <w:name w:val="封面标准代替信息"/>
    <w:qFormat/>
    <w:pPr>
      <w:framePr w:w="9355" w:h="624" w:hRule="exact" w:hSpace="181" w:vSpace="181" w:wrap="around" w:vAnchor="page" w:hAnchor="page" w:x="1419" w:y="3284"/>
      <w:spacing w:before="57" w:line="280" w:lineRule="exact"/>
      <w:jc w:val="right"/>
    </w:pPr>
    <w:rPr>
      <w:rFonts w:ascii="黑体" w:eastAsia="黑体" w:hAnsi="Times New Roman" w:cs="Times New Roman" w:hint="eastAsia"/>
      <w:sz w:val="21"/>
    </w:rPr>
  </w:style>
  <w:style w:type="paragraph" w:customStyle="1" w:styleId="af2">
    <w:name w:val="封面标准顶部线"/>
    <w:qFormat/>
    <w:pPr>
      <w:framePr w:w="9673" w:hSpace="181" w:wrap="around" w:vAnchor="page" w:hAnchor="page" w:x="1390" w:y="4242"/>
      <w:spacing w:line="0" w:lineRule="atLeast"/>
    </w:pPr>
    <w:rPr>
      <w:rFonts w:ascii="宋体" w:eastAsia="宋体" w:hAnsi="Times New Roman" w:cs="Times New Roman" w:hint="eastAsia"/>
      <w:sz w:val="21"/>
    </w:rPr>
  </w:style>
  <w:style w:type="paragraph" w:customStyle="1" w:styleId="af3">
    <w:name w:val="封面标准名称"/>
    <w:qFormat/>
    <w:pPr>
      <w:framePr w:w="9639" w:h="6974" w:hRule="exact" w:wrap="around" w:vAnchor="page" w:hAnchor="page" w:x="1419" w:y="6408"/>
      <w:spacing w:line="700" w:lineRule="exact"/>
      <w:jc w:val="center"/>
    </w:pPr>
    <w:rPr>
      <w:rFonts w:ascii="黑体" w:eastAsia="黑体" w:hAnsi="Times New Roman" w:cs="Times New Roman" w:hint="eastAsia"/>
      <w:sz w:val="52"/>
    </w:rPr>
  </w:style>
  <w:style w:type="paragraph" w:customStyle="1" w:styleId="af4">
    <w:name w:val="封面标准英文名称"/>
    <w:basedOn w:val="af3"/>
    <w:qFormat/>
    <w:pPr>
      <w:framePr w:wrap="around"/>
      <w:widowControl w:val="0"/>
      <w:spacing w:before="410" w:line="360" w:lineRule="exact"/>
      <w:textAlignment w:val="bottom"/>
    </w:pPr>
    <w:rPr>
      <w:rFonts w:ascii="Times New Roman"/>
      <w:sz w:val="28"/>
    </w:rPr>
  </w:style>
  <w:style w:type="paragraph" w:customStyle="1" w:styleId="af5">
    <w:name w:val="封面一致性程度标识"/>
    <w:basedOn w:val="af4"/>
    <w:qFormat/>
    <w:pPr>
      <w:framePr w:wrap="around"/>
      <w:spacing w:before="760"/>
    </w:pPr>
  </w:style>
  <w:style w:type="paragraph" w:customStyle="1" w:styleId="af6">
    <w:name w:val="封面标准文稿类别"/>
    <w:basedOn w:val="af5"/>
    <w:qFormat/>
    <w:pPr>
      <w:framePr w:wrap="around"/>
      <w:spacing w:before="440" w:after="160"/>
    </w:pPr>
    <w:rPr>
      <w:rFonts w:ascii="黑体" w:hAnsi="黑体" w:cs="黑体"/>
      <w:sz w:val="24"/>
    </w:rPr>
  </w:style>
  <w:style w:type="paragraph" w:customStyle="1" w:styleId="af7">
    <w:name w:val="封面标准文稿编辑信息"/>
    <w:basedOn w:val="af6"/>
    <w:qFormat/>
    <w:pPr>
      <w:framePr w:wrap="around"/>
      <w:spacing w:before="180" w:line="240" w:lineRule="atLeast"/>
    </w:pPr>
    <w:rPr>
      <w:sz w:val="21"/>
    </w:rPr>
  </w:style>
  <w:style w:type="paragraph" w:customStyle="1" w:styleId="af8">
    <w:name w:val="封面标准文稿附件"/>
    <w:basedOn w:val="af6"/>
    <w:qFormat/>
    <w:pPr>
      <w:framePr w:wrap="around"/>
      <w:spacing w:beforeLines="300" w:before="937" w:afterLines="30" w:line="240" w:lineRule="auto"/>
    </w:pPr>
    <w:rPr>
      <w:rFonts w:ascii="Times New Roman" w:hAnsi="Times New Roman" w:cs="Times New Roman"/>
      <w:b/>
      <w:sz w:val="21"/>
    </w:rPr>
  </w:style>
  <w:style w:type="paragraph" w:customStyle="1" w:styleId="af9">
    <w:name w:val="封面日期"/>
    <w:qFormat/>
    <w:pPr>
      <w:framePr w:w="9673" w:vSpace="181" w:wrap="around" w:vAnchor="page" w:hAnchor="page" w:x="1419" w:y="14176" w:anchorLock="1"/>
      <w:spacing w:line="360" w:lineRule="exact"/>
    </w:pPr>
    <w:rPr>
      <w:rFonts w:ascii="黑体" w:eastAsia="黑体" w:hAnsi="Times New Roman" w:cs="Times New Roman" w:hint="eastAsia"/>
      <w:sz w:val="28"/>
    </w:rPr>
  </w:style>
  <w:style w:type="paragraph" w:customStyle="1" w:styleId="20">
    <w:name w:val="其他发布部门2"/>
    <w:basedOn w:val="afa"/>
    <w:qFormat/>
    <w:pPr>
      <w:framePr w:w="7433" w:h="584" w:hRule="exact" w:hSpace="181" w:wrap="around" w:vAnchor="margin" w:hAnchor="margin" w:xAlign="center" w:y="15027"/>
      <w:spacing w:line="0" w:lineRule="atLeast"/>
    </w:pPr>
    <w:rPr>
      <w:rFonts w:ascii="黑体" w:eastAsia="黑体" w:hAnsi="黑体"/>
      <w:spacing w:val="0"/>
      <w:w w:val="100"/>
    </w:rPr>
  </w:style>
  <w:style w:type="paragraph" w:customStyle="1" w:styleId="afa">
    <w:name w:val="发布部门"/>
    <w:next w:val="afb"/>
    <w:qFormat/>
    <w:pPr>
      <w:framePr w:w="7938" w:h="1134" w:hRule="exact" w:hSpace="125" w:vSpace="181" w:wrap="around" w:vAnchor="page" w:hAnchor="page" w:x="2150" w:y="14630" w:anchorLock="1"/>
      <w:spacing w:before="100"/>
      <w:jc w:val="center"/>
    </w:pPr>
    <w:rPr>
      <w:rFonts w:ascii="宋体" w:eastAsia="宋体" w:hAnsi="Times New Roman" w:cs="Times New Roman" w:hint="eastAsia"/>
      <w:spacing w:val="20"/>
      <w:w w:val="135"/>
      <w:sz w:val="28"/>
    </w:rPr>
  </w:style>
  <w:style w:type="paragraph" w:customStyle="1" w:styleId="afb">
    <w:name w:val="标准文件_段"/>
    <w:qFormat/>
    <w:pPr>
      <w:ind w:firstLineChars="200" w:firstLine="960"/>
      <w:jc w:val="both"/>
    </w:pPr>
    <w:rPr>
      <w:rFonts w:ascii="宋体" w:eastAsia="宋体" w:hAnsi="Times New Roman" w:cs="宋体" w:hint="eastAsia"/>
      <w:sz w:val="21"/>
    </w:rPr>
  </w:style>
  <w:style w:type="paragraph" w:customStyle="1" w:styleId="afc">
    <w:name w:val="文献分类号"/>
    <w:qFormat/>
    <w:pPr>
      <w:framePr w:wrap="around" w:vAnchor="page" w:hAnchor="page" w:x="1373" w:y="568"/>
      <w:widowControl w:val="0"/>
      <w:textAlignment w:val="center"/>
    </w:pPr>
    <w:rPr>
      <w:rFonts w:ascii="黑体" w:eastAsia="黑体" w:hAnsi="Times New Roman" w:cs="Times New Roman" w:hint="eastAsia"/>
      <w:kern w:val="2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532</Words>
  <Characters>3039</Characters>
  <Application>Microsoft Office Word</Application>
  <DocSecurity>0</DocSecurity>
  <Lines>25</Lines>
  <Paragraphs>7</Paragraphs>
  <ScaleCrop>false</ScaleCrop>
  <Company>DoubleOX</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WPS_1180567510</dc:creator>
  <cp:lastModifiedBy>Administrator</cp:lastModifiedBy>
  <cp:revision>4</cp:revision>
  <dcterms:created xsi:type="dcterms:W3CDTF">2024-11-11T08:19:00Z</dcterms:created>
  <dcterms:modified xsi:type="dcterms:W3CDTF">2024-11-11T08:50:00Z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5FCA86082B4F41D6B7B5F1E84DC4329A_11</vt:lpwstr>
  </property>
</Properties>
</file>