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hAnsi="黑体" w:eastAsia="黑体"/>
          <w:sz w:val="44"/>
          <w:szCs w:val="44"/>
        </w:rPr>
      </w:pPr>
    </w:p>
    <w:p>
      <w:pPr>
        <w:jc w:val="both"/>
        <w:rPr>
          <w:rFonts w:hint="eastAsia" w:ascii="黑体" w:hAnsi="黑体" w:eastAsia="黑体"/>
          <w:sz w:val="44"/>
          <w:szCs w:val="44"/>
        </w:rPr>
      </w:pPr>
    </w:p>
    <w:p>
      <w:pPr>
        <w:ind w:firstLine="883" w:firstLineChars="200"/>
        <w:jc w:val="center"/>
        <w:rPr>
          <w:rFonts w:hint="eastAsia" w:ascii="方正小标宋简体" w:hAnsi="Times New Roman" w:eastAsia="方正小标宋简体" w:cs="Times New Roman"/>
          <w:b/>
          <w:bCs/>
          <w:sz w:val="44"/>
          <w:szCs w:val="44"/>
        </w:rPr>
      </w:pPr>
      <w:r>
        <w:rPr>
          <w:rFonts w:hint="eastAsia" w:ascii="方正小标宋简体" w:hAnsi="Times New Roman" w:eastAsia="方正小标宋简体" w:cs="Times New Roman"/>
          <w:b/>
          <w:bCs/>
          <w:sz w:val="44"/>
          <w:szCs w:val="44"/>
        </w:rPr>
        <w:t>《</w:t>
      </w:r>
      <w:r>
        <w:rPr>
          <w:rFonts w:hint="eastAsia" w:ascii="方正小标宋简体" w:hAnsi="Times New Roman" w:eastAsia="方正小标宋简体" w:cs="Times New Roman"/>
          <w:b/>
          <w:bCs/>
          <w:sz w:val="44"/>
          <w:szCs w:val="44"/>
          <w:lang w:val="en-US" w:eastAsia="zh-CN"/>
        </w:rPr>
        <w:t>当归种苗繁育及分级</w:t>
      </w:r>
      <w:r>
        <w:rPr>
          <w:rFonts w:hint="eastAsia" w:ascii="方正小标宋简体" w:hAnsi="Times New Roman" w:eastAsia="方正小标宋简体" w:cs="Times New Roman"/>
          <w:b/>
          <w:bCs/>
          <w:sz w:val="44"/>
          <w:szCs w:val="44"/>
        </w:rPr>
        <w:t>》</w:t>
      </w:r>
    </w:p>
    <w:p>
      <w:pPr>
        <w:ind w:firstLine="883" w:firstLineChars="200"/>
        <w:jc w:val="center"/>
        <w:rPr>
          <w:rFonts w:hint="eastAsia" w:ascii="方正小标宋简体" w:hAnsi="Times New Roman" w:eastAsia="方正小标宋简体" w:cs="Times New Roman"/>
          <w:b/>
          <w:bCs/>
          <w:sz w:val="44"/>
          <w:szCs w:val="44"/>
        </w:rPr>
      </w:pPr>
      <w:r>
        <w:rPr>
          <w:rFonts w:hint="eastAsia" w:ascii="方正小标宋简体" w:hAnsi="Times New Roman" w:eastAsia="方正小标宋简体" w:cs="Times New Roman"/>
          <w:b/>
          <w:bCs/>
          <w:sz w:val="44"/>
          <w:szCs w:val="44"/>
        </w:rPr>
        <w:t>编制说明</w:t>
      </w:r>
    </w:p>
    <w:p>
      <w:pPr>
        <w:rPr>
          <w:rFonts w:hint="eastAsia" w:ascii="黑体" w:hAnsi="黑体" w:eastAsia="黑体"/>
          <w:sz w:val="44"/>
          <w:szCs w:val="44"/>
        </w:rPr>
      </w:pPr>
    </w:p>
    <w:p>
      <w:pPr>
        <w:rPr>
          <w:rFonts w:hint="eastAsia" w:ascii="黑体" w:hAnsi="黑体" w:eastAsia="黑体"/>
          <w:sz w:val="44"/>
          <w:szCs w:val="44"/>
        </w:rPr>
      </w:pPr>
    </w:p>
    <w:p>
      <w:pPr>
        <w:rPr>
          <w:rFonts w:hint="eastAsia" w:ascii="黑体" w:hAnsi="黑体" w:eastAsia="黑体"/>
          <w:sz w:val="44"/>
          <w:szCs w:val="44"/>
        </w:rPr>
      </w:pPr>
    </w:p>
    <w:p>
      <w:pPr>
        <w:rPr>
          <w:rFonts w:hint="eastAsia" w:ascii="黑体" w:hAnsi="黑体" w:eastAsia="黑体"/>
          <w:sz w:val="44"/>
          <w:szCs w:val="44"/>
        </w:rPr>
      </w:pPr>
    </w:p>
    <w:p>
      <w:pPr>
        <w:rPr>
          <w:rFonts w:hint="eastAsia" w:ascii="黑体" w:hAnsi="黑体" w:eastAsia="黑体"/>
          <w:sz w:val="44"/>
          <w:szCs w:val="44"/>
        </w:rPr>
      </w:pPr>
    </w:p>
    <w:p>
      <w:pPr>
        <w:rPr>
          <w:rFonts w:hint="eastAsia" w:ascii="黑体" w:hAnsi="黑体" w:eastAsia="黑体"/>
          <w:sz w:val="44"/>
          <w:szCs w:val="44"/>
        </w:rPr>
      </w:pPr>
    </w:p>
    <w:p>
      <w:pPr>
        <w:rPr>
          <w:rFonts w:hint="eastAsia" w:ascii="黑体" w:hAnsi="黑体" w:eastAsia="黑体"/>
          <w:sz w:val="44"/>
          <w:szCs w:val="44"/>
        </w:rPr>
      </w:pPr>
    </w:p>
    <w:p>
      <w:pPr>
        <w:rPr>
          <w:rFonts w:hint="eastAsia" w:ascii="黑体" w:hAnsi="黑体" w:eastAsia="黑体"/>
          <w:sz w:val="44"/>
          <w:szCs w:val="44"/>
        </w:rPr>
      </w:pPr>
    </w:p>
    <w:p>
      <w:pPr>
        <w:ind w:firstLine="161" w:firstLineChars="50"/>
        <w:rPr>
          <w:rFonts w:hint="eastAsia" w:ascii="宋体" w:hAnsi="宋体" w:eastAsia="宋体" w:cs="宋体"/>
          <w:b/>
          <w:sz w:val="32"/>
          <w:szCs w:val="32"/>
          <w:u w:val="single"/>
        </w:rPr>
      </w:pPr>
      <w:r>
        <w:rPr>
          <w:rFonts w:hint="eastAsia" w:ascii="宋体" w:hAnsi="宋体" w:eastAsia="宋体" w:cs="宋体"/>
          <w:b/>
          <w:sz w:val="32"/>
          <w:szCs w:val="32"/>
        </w:rPr>
        <w:t>标 准 名 称：</w:t>
      </w:r>
      <w:r>
        <w:rPr>
          <w:rFonts w:hint="eastAsia" w:ascii="宋体" w:hAnsi="宋体" w:eastAsia="宋体" w:cs="宋体"/>
          <w:b/>
          <w:sz w:val="32"/>
          <w:szCs w:val="32"/>
          <w:u w:val="single"/>
        </w:rPr>
        <w:t xml:space="preserve"> </w:t>
      </w:r>
      <w:r>
        <w:rPr>
          <w:rFonts w:hint="eastAsia" w:ascii="宋体" w:hAnsi="宋体" w:eastAsia="宋体" w:cs="宋体"/>
          <w:b/>
          <w:sz w:val="32"/>
          <w:szCs w:val="32"/>
          <w:u w:val="single"/>
          <w:lang w:val="en-US" w:eastAsia="zh-CN"/>
        </w:rPr>
        <w:t xml:space="preserve">  </w:t>
      </w:r>
      <w:r>
        <w:rPr>
          <w:rFonts w:hint="eastAsia" w:ascii="宋体" w:hAnsi="宋体" w:eastAsia="宋体" w:cs="宋体"/>
          <w:b/>
          <w:sz w:val="32"/>
          <w:szCs w:val="32"/>
          <w:u w:val="single"/>
        </w:rPr>
        <w:t xml:space="preserve"> </w:t>
      </w:r>
      <w:r>
        <w:rPr>
          <w:rFonts w:hint="eastAsia" w:ascii="宋体" w:hAnsi="宋体" w:eastAsia="宋体" w:cs="宋体"/>
          <w:b/>
          <w:sz w:val="32"/>
          <w:szCs w:val="32"/>
          <w:u w:val="single"/>
          <w:lang w:val="en-US" w:eastAsia="zh-CN"/>
        </w:rPr>
        <w:t xml:space="preserve"> 当归种苗繁育及分级         </w:t>
      </w:r>
      <w:r>
        <w:rPr>
          <w:rFonts w:hint="eastAsia" w:ascii="宋体" w:hAnsi="宋体" w:eastAsia="宋体" w:cs="宋体"/>
          <w:b/>
          <w:sz w:val="32"/>
          <w:szCs w:val="32"/>
          <w:u w:val="single"/>
        </w:rPr>
        <w:t xml:space="preserve"> </w:t>
      </w:r>
    </w:p>
    <w:p>
      <w:pPr>
        <w:ind w:firstLine="161" w:firstLineChars="50"/>
        <w:rPr>
          <w:rFonts w:hint="eastAsia" w:ascii="宋体" w:hAnsi="宋体" w:eastAsia="宋体" w:cs="宋体"/>
          <w:b/>
          <w:sz w:val="32"/>
          <w:szCs w:val="32"/>
          <w:u w:val="single"/>
          <w:lang w:val="en-US" w:eastAsia="zh-CN"/>
        </w:rPr>
      </w:pPr>
      <w:r>
        <w:rPr>
          <w:rFonts w:hint="eastAsia" w:ascii="宋体" w:hAnsi="宋体" w:eastAsia="宋体" w:cs="宋体"/>
          <w:b/>
          <w:sz w:val="32"/>
          <w:szCs w:val="32"/>
          <w:u w:val="none"/>
          <w:lang w:val="en-US" w:eastAsia="zh-CN"/>
        </w:rPr>
        <w:t>项 目 编 号：</w:t>
      </w:r>
      <w:r>
        <w:rPr>
          <w:rFonts w:hint="eastAsia" w:ascii="宋体" w:hAnsi="宋体" w:eastAsia="宋体" w:cs="宋体"/>
          <w:b/>
          <w:sz w:val="32"/>
          <w:szCs w:val="32"/>
          <w:u w:val="single"/>
          <w:lang w:val="en-US" w:eastAsia="zh-CN"/>
        </w:rPr>
        <w:t xml:space="preserve">           QHNX20-2020                              </w:t>
      </w:r>
    </w:p>
    <w:p>
      <w:pPr>
        <w:ind w:firstLine="161" w:firstLineChars="50"/>
        <w:rPr>
          <w:rFonts w:hint="eastAsia" w:ascii="宋体" w:hAnsi="宋体" w:eastAsia="宋体" w:cs="宋体"/>
          <w:b/>
          <w:sz w:val="32"/>
          <w:szCs w:val="32"/>
        </w:rPr>
      </w:pPr>
      <w:r>
        <w:rPr>
          <w:rFonts w:hint="eastAsia" w:ascii="宋体" w:hAnsi="宋体" w:eastAsia="宋体" w:cs="宋体"/>
          <w:b/>
          <w:sz w:val="32"/>
          <w:szCs w:val="32"/>
        </w:rPr>
        <w:t>制、修订类型：</w:t>
      </w:r>
      <w:r>
        <w:rPr>
          <w:rFonts w:hint="eastAsia" w:ascii="宋体" w:hAnsi="宋体" w:eastAsia="宋体" w:cs="宋体"/>
          <w:b/>
          <w:sz w:val="32"/>
          <w:szCs w:val="32"/>
          <w:u w:val="single"/>
        </w:rPr>
        <w:t xml:space="preserve">     </w:t>
      </w:r>
      <w:r>
        <w:rPr>
          <w:rFonts w:hint="eastAsia" w:ascii="宋体" w:hAnsi="宋体" w:eastAsia="宋体" w:cs="宋体"/>
          <w:b/>
          <w:sz w:val="32"/>
          <w:szCs w:val="32"/>
          <w:u w:val="single"/>
          <w:lang w:val="en-US" w:eastAsia="zh-CN"/>
        </w:rPr>
        <w:t xml:space="preserve">      </w:t>
      </w:r>
      <w:r>
        <w:rPr>
          <w:rFonts w:hint="eastAsia" w:ascii="宋体" w:hAnsi="宋体" w:eastAsia="宋体" w:cs="宋体"/>
          <w:b/>
          <w:sz w:val="32"/>
          <w:szCs w:val="32"/>
          <w:u w:val="single"/>
        </w:rPr>
        <w:t xml:space="preserve">制定               </w:t>
      </w:r>
      <w:r>
        <w:rPr>
          <w:rFonts w:hint="eastAsia" w:ascii="宋体" w:hAnsi="宋体" w:eastAsia="宋体" w:cs="宋体"/>
          <w:b/>
          <w:sz w:val="32"/>
          <w:szCs w:val="32"/>
          <w:u w:val="single"/>
          <w:lang w:val="en-US" w:eastAsia="zh-CN"/>
        </w:rPr>
        <w:t xml:space="preserve">          </w:t>
      </w:r>
      <w:r>
        <w:rPr>
          <w:rFonts w:hint="eastAsia" w:ascii="宋体" w:hAnsi="宋体" w:eastAsia="宋体" w:cs="宋体"/>
          <w:b/>
          <w:sz w:val="32"/>
          <w:szCs w:val="32"/>
          <w:u w:val="single"/>
        </w:rPr>
        <w:t xml:space="preserve"> </w:t>
      </w:r>
    </w:p>
    <w:p>
      <w:pPr>
        <w:ind w:firstLine="161" w:firstLineChars="50"/>
        <w:rPr>
          <w:rFonts w:hint="eastAsia" w:ascii="宋体" w:hAnsi="宋体" w:eastAsia="宋体" w:cs="宋体"/>
          <w:b/>
          <w:sz w:val="32"/>
          <w:szCs w:val="32"/>
          <w:lang w:val="en-US" w:eastAsia="zh-CN"/>
        </w:rPr>
      </w:pPr>
      <w:r>
        <w:rPr>
          <w:rFonts w:hint="eastAsia" w:ascii="宋体" w:hAnsi="宋体" w:eastAsia="宋体" w:cs="宋体"/>
          <w:b/>
          <w:sz w:val="32"/>
          <w:szCs w:val="32"/>
        </w:rPr>
        <w:t>主要起草单位：</w:t>
      </w:r>
      <w:r>
        <w:rPr>
          <w:rFonts w:hint="eastAsia" w:ascii="宋体" w:hAnsi="宋体" w:eastAsia="宋体" w:cs="宋体"/>
          <w:b/>
          <w:sz w:val="32"/>
          <w:szCs w:val="32"/>
          <w:u w:val="single"/>
        </w:rPr>
        <w:t xml:space="preserve">  </w:t>
      </w:r>
      <w:r>
        <w:rPr>
          <w:rFonts w:hint="eastAsia" w:ascii="宋体" w:hAnsi="宋体" w:eastAsia="宋体" w:cs="宋体"/>
          <w:b/>
          <w:sz w:val="32"/>
          <w:szCs w:val="32"/>
          <w:u w:val="single"/>
          <w:lang w:val="en-US" w:eastAsia="zh-CN"/>
        </w:rPr>
        <w:t xml:space="preserve">  </w:t>
      </w:r>
      <w:r>
        <w:rPr>
          <w:rFonts w:hint="eastAsia" w:ascii="宋体" w:hAnsi="宋体" w:eastAsia="宋体" w:cs="宋体"/>
          <w:b/>
          <w:sz w:val="32"/>
          <w:szCs w:val="32"/>
          <w:u w:val="single"/>
        </w:rPr>
        <w:t>青海</w:t>
      </w:r>
      <w:r>
        <w:rPr>
          <w:rFonts w:hint="eastAsia" w:ascii="宋体" w:hAnsi="宋体" w:eastAsia="宋体" w:cs="宋体"/>
          <w:b/>
          <w:sz w:val="32"/>
          <w:szCs w:val="32"/>
          <w:u w:val="single"/>
          <w:lang w:eastAsia="zh-CN"/>
        </w:rPr>
        <w:t>互丰农业科技集团有限公司</w:t>
      </w:r>
      <w:r>
        <w:rPr>
          <w:rFonts w:hint="eastAsia" w:ascii="宋体" w:hAnsi="宋体" w:eastAsia="宋体" w:cs="宋体"/>
          <w:b/>
          <w:sz w:val="32"/>
          <w:szCs w:val="32"/>
          <w:u w:val="single"/>
        </w:rPr>
        <w:t xml:space="preserve"> </w:t>
      </w:r>
      <w:r>
        <w:rPr>
          <w:rFonts w:hint="eastAsia" w:ascii="宋体" w:hAnsi="宋体" w:eastAsia="宋体" w:cs="宋体"/>
          <w:b/>
          <w:sz w:val="32"/>
          <w:szCs w:val="32"/>
          <w:u w:val="single"/>
          <w:lang w:val="en-US" w:eastAsia="zh-CN"/>
        </w:rPr>
        <w:t xml:space="preserve">    </w:t>
      </w:r>
    </w:p>
    <w:p>
      <w:pPr>
        <w:ind w:firstLine="161" w:firstLineChars="50"/>
        <w:rPr>
          <w:rFonts w:hint="eastAsia" w:ascii="宋体" w:hAnsi="宋体" w:eastAsia="宋体" w:cs="宋体"/>
          <w:b/>
          <w:sz w:val="32"/>
          <w:szCs w:val="32"/>
          <w:u w:val="single"/>
        </w:rPr>
      </w:pPr>
      <w:r>
        <w:rPr>
          <w:rFonts w:hint="eastAsia" w:ascii="宋体" w:hAnsi="宋体" w:eastAsia="宋体" w:cs="宋体"/>
          <w:b/>
          <w:sz w:val="32"/>
          <w:szCs w:val="32"/>
        </w:rPr>
        <w:t>归 口 单 位：</w:t>
      </w:r>
      <w:r>
        <w:rPr>
          <w:rFonts w:hint="eastAsia" w:ascii="宋体" w:hAnsi="宋体" w:eastAsia="宋体" w:cs="宋体"/>
          <w:b/>
          <w:sz w:val="32"/>
          <w:szCs w:val="32"/>
          <w:u w:val="single"/>
        </w:rPr>
        <w:t xml:space="preserve">   </w:t>
      </w:r>
      <w:r>
        <w:rPr>
          <w:rFonts w:hint="eastAsia" w:ascii="宋体" w:hAnsi="宋体" w:eastAsia="宋体" w:cs="宋体"/>
          <w:b/>
          <w:sz w:val="32"/>
          <w:szCs w:val="32"/>
          <w:u w:val="single"/>
          <w:lang w:val="en-US" w:eastAsia="zh-CN"/>
        </w:rPr>
        <w:t xml:space="preserve">  </w:t>
      </w:r>
      <w:r>
        <w:rPr>
          <w:rFonts w:hint="eastAsia" w:ascii="宋体" w:hAnsi="宋体" w:eastAsia="宋体" w:cs="宋体"/>
          <w:b/>
          <w:sz w:val="32"/>
          <w:szCs w:val="32"/>
          <w:u w:val="single"/>
        </w:rPr>
        <w:t xml:space="preserve">青海省农学会          </w:t>
      </w:r>
      <w:r>
        <w:rPr>
          <w:rFonts w:hint="eastAsia" w:ascii="宋体" w:hAnsi="宋体" w:eastAsia="宋体" w:cs="宋体"/>
          <w:b/>
          <w:sz w:val="32"/>
          <w:szCs w:val="32"/>
          <w:u w:val="single"/>
          <w:lang w:val="en-US" w:eastAsia="zh-CN"/>
        </w:rPr>
        <w:t xml:space="preserve">           </w:t>
      </w:r>
    </w:p>
    <w:p>
      <w:pPr>
        <w:ind w:firstLine="161" w:firstLineChars="50"/>
        <w:rPr>
          <w:rFonts w:hint="eastAsia" w:ascii="宋体" w:hAnsi="宋体" w:eastAsia="宋体" w:cs="宋体"/>
          <w:bCs/>
          <w:sz w:val="32"/>
          <w:szCs w:val="32"/>
          <w:u w:val="single"/>
          <w:lang w:val="en-US"/>
        </w:rPr>
      </w:pPr>
      <w:r>
        <w:rPr>
          <w:rFonts w:hint="eastAsia" w:ascii="宋体" w:hAnsi="宋体" w:eastAsia="宋体" w:cs="宋体"/>
          <w:b/>
          <w:sz w:val="32"/>
          <w:szCs w:val="32"/>
        </w:rPr>
        <w:t>起草时间：</w:t>
      </w:r>
      <w:r>
        <w:rPr>
          <w:rFonts w:hint="eastAsia" w:ascii="宋体" w:hAnsi="宋体" w:eastAsia="宋体" w:cs="宋体"/>
          <w:b/>
          <w:sz w:val="32"/>
          <w:szCs w:val="32"/>
          <w:u w:val="single"/>
        </w:rPr>
        <w:t xml:space="preserve">       2019年1</w:t>
      </w:r>
      <w:r>
        <w:rPr>
          <w:rFonts w:hint="eastAsia" w:ascii="宋体" w:hAnsi="宋体" w:cs="宋体"/>
          <w:b/>
          <w:sz w:val="32"/>
          <w:szCs w:val="32"/>
          <w:u w:val="single"/>
          <w:lang w:val="en-US" w:eastAsia="zh-CN"/>
        </w:rPr>
        <w:t>1</w:t>
      </w:r>
      <w:r>
        <w:rPr>
          <w:rFonts w:hint="eastAsia" w:ascii="宋体" w:hAnsi="宋体" w:eastAsia="宋体" w:cs="宋体"/>
          <w:b/>
          <w:sz w:val="32"/>
          <w:szCs w:val="32"/>
          <w:u w:val="single"/>
        </w:rPr>
        <w:t>月-- 2020年</w:t>
      </w:r>
      <w:r>
        <w:rPr>
          <w:rFonts w:hint="eastAsia" w:ascii="宋体" w:hAnsi="宋体" w:eastAsia="宋体" w:cs="宋体"/>
          <w:b/>
          <w:sz w:val="32"/>
          <w:szCs w:val="32"/>
          <w:u w:val="single"/>
          <w:lang w:val="en-US" w:eastAsia="zh-CN"/>
        </w:rPr>
        <w:t>11</w:t>
      </w:r>
      <w:r>
        <w:rPr>
          <w:rFonts w:hint="eastAsia" w:ascii="宋体" w:hAnsi="宋体" w:eastAsia="宋体" w:cs="宋体"/>
          <w:b/>
          <w:sz w:val="32"/>
          <w:szCs w:val="32"/>
          <w:u w:val="single"/>
        </w:rPr>
        <w:t xml:space="preserve">月    </w:t>
      </w:r>
      <w:r>
        <w:rPr>
          <w:rFonts w:hint="eastAsia" w:ascii="宋体" w:hAnsi="宋体" w:eastAsia="宋体" w:cs="宋体"/>
          <w:b/>
          <w:sz w:val="32"/>
          <w:szCs w:val="32"/>
          <w:u w:val="single"/>
          <w:lang w:val="en-US" w:eastAsia="zh-CN"/>
        </w:rPr>
        <w:t xml:space="preserve">     </w:t>
      </w:r>
    </w:p>
    <w:p/>
    <w:p>
      <w:pPr>
        <w:numPr>
          <w:ilvl w:val="0"/>
          <w:numId w:val="1"/>
        </w:numPr>
        <w:rPr>
          <w:rFonts w:hint="eastAsia" w:ascii="仿宋_GB2312" w:eastAsia="仿宋_GB2312"/>
          <w:b/>
          <w:bCs/>
          <w:sz w:val="28"/>
          <w:szCs w:val="28"/>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pPr>
        <w:pStyle w:val="11"/>
        <w:keepNext w:val="0"/>
        <w:keepLines w:val="0"/>
        <w:pageBreakBefore w:val="0"/>
        <w:widowControl/>
        <w:numPr>
          <w:ilvl w:val="0"/>
          <w:numId w:val="2"/>
        </w:numPr>
        <w:kinsoku/>
        <w:wordWrap/>
        <w:overflowPunct/>
        <w:topLinePunct w:val="0"/>
        <w:autoSpaceDE/>
        <w:autoSpaceDN/>
        <w:bidi w:val="0"/>
        <w:adjustRightInd/>
        <w:snapToGrid/>
        <w:spacing w:before="0" w:beforeLines="0" w:after="0" w:afterLines="0"/>
        <w:ind w:left="0" w:firstLine="0"/>
        <w:textAlignment w:val="auto"/>
        <w:outlineLvl w:val="0"/>
        <w:rPr>
          <w:rFonts w:hint="eastAsia" w:ascii="黑体" w:hAnsi="Times New Roman" w:eastAsia="黑体" w:cs="Times New Roman"/>
          <w:kern w:val="2"/>
          <w:sz w:val="32"/>
          <w:szCs w:val="32"/>
          <w:lang w:val="en-US" w:eastAsia="zh-CN" w:bidi="ar-SA"/>
        </w:rPr>
      </w:pPr>
      <w:r>
        <w:rPr>
          <w:rFonts w:hint="eastAsia" w:ascii="黑体" w:hAnsi="Times New Roman" w:eastAsia="黑体" w:cs="Times New Roman"/>
          <w:kern w:val="2"/>
          <w:sz w:val="32"/>
          <w:szCs w:val="32"/>
          <w:lang w:val="en-US" w:eastAsia="zh-CN" w:bidi="ar-SA"/>
        </w:rPr>
        <w:t>工作简况</w:t>
      </w:r>
    </w:p>
    <w:p>
      <w:pPr>
        <w:pStyle w:val="11"/>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ind w:leftChars="0"/>
        <w:textAlignment w:val="auto"/>
        <w:rPr>
          <w:rFonts w:hint="eastAsia" w:ascii="楷体_GB2312" w:hAnsi="Times New Roman" w:eastAsia="楷体_GB2312" w:cs="Times New Roman"/>
          <w:kern w:val="2"/>
          <w:sz w:val="32"/>
          <w:szCs w:val="32"/>
          <w:lang w:val="en-US" w:eastAsia="zh-CN" w:bidi="ar-SA"/>
        </w:rPr>
      </w:pPr>
      <w:r>
        <w:rPr>
          <w:rFonts w:hint="eastAsia" w:ascii="楷体_GB2312" w:hAnsi="Times New Roman" w:eastAsia="楷体_GB2312" w:cs="Times New Roman"/>
          <w:kern w:val="2"/>
          <w:sz w:val="32"/>
          <w:szCs w:val="32"/>
          <w:lang w:val="en-US" w:eastAsia="zh-CN" w:bidi="ar-SA"/>
        </w:rPr>
        <w:t>（一）任务来源及说明</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仿宋"/>
          <w:kern w:val="2"/>
          <w:sz w:val="32"/>
          <w:szCs w:val="32"/>
          <w:lang w:val="en-US" w:eastAsia="zh-CN" w:bidi="ar-SA"/>
        </w:rPr>
      </w:pPr>
      <w:r>
        <w:rPr>
          <w:rFonts w:hint="eastAsia" w:ascii="仿宋" w:hAnsi="仿宋" w:eastAsia="仿宋" w:cs="仿宋"/>
          <w:sz w:val="32"/>
          <w:szCs w:val="32"/>
          <w:lang w:val="en-US" w:eastAsia="zh-CN"/>
        </w:rPr>
        <w:t xml:space="preserve"> </w:t>
      </w:r>
      <w:r>
        <w:rPr>
          <w:rFonts w:hint="eastAsia" w:ascii="仿宋" w:hAnsi="仿宋" w:eastAsia="仿宋" w:cs="仿宋"/>
          <w:kern w:val="2"/>
          <w:sz w:val="32"/>
          <w:szCs w:val="32"/>
          <w:lang w:val="en-US" w:eastAsia="zh-CN" w:bidi="ar-SA"/>
        </w:rPr>
        <w:t>2020年9月30日，由青海互丰农业科技集团有限公司申请团体标准的立项，根据青海省农学会下达的《关于下达2020年第二批团体标准项目计划的通知》（青农字[2020]7号），批准《青海省当归种苗质量标准》团体标准的制定。</w:t>
      </w:r>
    </w:p>
    <w:p>
      <w:pPr>
        <w:pStyle w:val="11"/>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ind w:leftChars="0"/>
        <w:textAlignment w:val="auto"/>
        <w:rPr>
          <w:rFonts w:hint="eastAsia" w:ascii="楷体_GB2312" w:hAnsi="Times New Roman" w:eastAsia="楷体_GB2312" w:cs="Times New Roman"/>
          <w:kern w:val="2"/>
          <w:sz w:val="32"/>
          <w:szCs w:val="32"/>
          <w:lang w:val="en-US" w:eastAsia="zh-CN" w:bidi="ar-SA"/>
        </w:rPr>
      </w:pPr>
      <w:r>
        <w:rPr>
          <w:rFonts w:hint="eastAsia" w:ascii="楷体_GB2312" w:hAnsi="Times New Roman" w:eastAsia="楷体_GB2312" w:cs="Times New Roman"/>
          <w:kern w:val="2"/>
          <w:sz w:val="32"/>
          <w:szCs w:val="32"/>
          <w:lang w:val="en-US" w:eastAsia="zh-CN" w:bidi="ar-SA"/>
        </w:rPr>
        <w:t>（二）起草单位、协作单位</w:t>
      </w:r>
    </w:p>
    <w:p>
      <w:pPr>
        <w:pStyle w:val="10"/>
        <w:keepNext w:val="0"/>
        <w:keepLines w:val="0"/>
        <w:pageBreakBefore w:val="0"/>
        <w:tabs>
          <w:tab w:val="center" w:pos="4201"/>
          <w:tab w:val="right" w:leader="dot" w:pos="9298"/>
        </w:tabs>
        <w:kinsoku/>
        <w:wordWrap/>
        <w:overflowPunct/>
        <w:topLinePunct w:val="0"/>
        <w:bidi w:val="0"/>
        <w:snapToGrid/>
        <w:spacing w:line="240" w:lineRule="auto"/>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起草单位：青海省互丰农业科技集团有限公司</w:t>
      </w:r>
    </w:p>
    <w:p>
      <w:pPr>
        <w:ind w:firstLine="640" w:firstLineChars="200"/>
        <w:rPr>
          <w:rFonts w:hint="eastAsia" w:ascii="仿宋" w:hAnsi="仿宋" w:eastAsia="仿宋" w:cs="仿宋"/>
          <w:sz w:val="32"/>
          <w:szCs w:val="32"/>
          <w:lang w:val="en-US" w:eastAsia="zh-CN"/>
        </w:rPr>
      </w:pPr>
      <w:r>
        <w:rPr>
          <w:rFonts w:hint="eastAsia" w:ascii="仿宋" w:hAnsi="仿宋" w:eastAsia="仿宋" w:cs="仿宋"/>
          <w:kern w:val="2"/>
          <w:sz w:val="32"/>
          <w:szCs w:val="32"/>
          <w:lang w:val="en-US" w:eastAsia="zh-CN" w:bidi="ar-SA"/>
        </w:rPr>
        <w:t>协作单位：青海互丰农业科技集团有限公司、青海省农业项目指导服务中心、互助县农产品质量检测中心、互助县南门峡林场、互助县林业和草原局、青海省农作物种子站</w:t>
      </w:r>
      <w:r>
        <w:rPr>
          <w:rFonts w:hint="eastAsia" w:ascii="仿宋" w:hAnsi="仿宋" w:eastAsia="仿宋" w:cs="仿宋"/>
          <w:sz w:val="32"/>
          <w:szCs w:val="32"/>
          <w:lang w:val="en-US" w:eastAsia="zh-CN"/>
        </w:rPr>
        <w:t>。</w:t>
      </w:r>
    </w:p>
    <w:p>
      <w:pPr>
        <w:pStyle w:val="11"/>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ind w:leftChars="0"/>
        <w:textAlignment w:val="auto"/>
        <w:rPr>
          <w:rFonts w:hint="default"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（三）主要起草人</w:t>
      </w:r>
    </w:p>
    <w:p>
      <w:pPr>
        <w:numPr>
          <w:ilvl w:val="0"/>
          <w:numId w:val="0"/>
        </w:numPr>
        <w:jc w:val="center"/>
        <w:rPr>
          <w:rFonts w:hint="default"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表1  标准起草人信息表</w:t>
      </w:r>
    </w:p>
    <w:tbl>
      <w:tblPr>
        <w:tblStyle w:val="5"/>
        <w:tblW w:w="478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5"/>
        <w:gridCol w:w="866"/>
        <w:gridCol w:w="1321"/>
        <w:gridCol w:w="2116"/>
        <w:gridCol w:w="26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52" w:hRule="exact"/>
          <w:jc w:val="center"/>
        </w:trPr>
        <w:tc>
          <w:tcPr>
            <w:tcW w:w="733"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center"/>
              <w:textAlignment w:val="auto"/>
              <w:rPr>
                <w:rFonts w:hint="default" w:ascii="仿宋" w:hAnsi="仿宋" w:eastAsia="仿宋" w:cs="Times New Roman"/>
                <w:sz w:val="24"/>
                <w:szCs w:val="24"/>
                <w:vertAlign w:val="baseline"/>
                <w:lang w:val="en-US" w:eastAsia="zh-CN"/>
              </w:rPr>
            </w:pPr>
            <w:r>
              <w:rPr>
                <w:rFonts w:hint="eastAsia" w:ascii="仿宋" w:hAnsi="仿宋" w:eastAsia="仿宋" w:cs="Times New Roman"/>
                <w:sz w:val="24"/>
                <w:szCs w:val="24"/>
                <w:vertAlign w:val="baseline"/>
                <w:lang w:val="en-US" w:eastAsia="zh-CN"/>
              </w:rPr>
              <w:t>姓名</w:t>
            </w:r>
          </w:p>
        </w:tc>
        <w:tc>
          <w:tcPr>
            <w:tcW w:w="531"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center"/>
              <w:textAlignment w:val="auto"/>
              <w:rPr>
                <w:rFonts w:hint="eastAsia" w:ascii="仿宋" w:hAnsi="仿宋" w:eastAsia="仿宋" w:cs="Times New Roman"/>
                <w:sz w:val="24"/>
                <w:szCs w:val="24"/>
                <w:vertAlign w:val="baseline"/>
                <w:lang w:val="en-US" w:eastAsia="zh-CN"/>
              </w:rPr>
            </w:pPr>
            <w:r>
              <w:rPr>
                <w:rFonts w:hint="eastAsia" w:ascii="仿宋" w:hAnsi="仿宋" w:eastAsia="仿宋" w:cs="Times New Roman"/>
                <w:sz w:val="24"/>
                <w:szCs w:val="24"/>
                <w:vertAlign w:val="baseline"/>
                <w:lang w:val="en-US" w:eastAsia="zh-CN"/>
              </w:rPr>
              <w:t>性别</w:t>
            </w:r>
          </w:p>
        </w:tc>
        <w:tc>
          <w:tcPr>
            <w:tcW w:w="81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center"/>
              <w:textAlignment w:val="auto"/>
              <w:rPr>
                <w:rFonts w:hint="default" w:ascii="仿宋" w:hAnsi="仿宋" w:eastAsia="仿宋" w:cs="Times New Roman"/>
                <w:sz w:val="24"/>
                <w:szCs w:val="24"/>
                <w:vertAlign w:val="baseline"/>
                <w:lang w:val="en-US" w:eastAsia="zh-CN"/>
              </w:rPr>
            </w:pPr>
            <w:r>
              <w:rPr>
                <w:rFonts w:hint="eastAsia" w:ascii="仿宋" w:hAnsi="仿宋" w:eastAsia="仿宋" w:cs="Times New Roman"/>
                <w:sz w:val="24"/>
                <w:szCs w:val="24"/>
                <w:vertAlign w:val="baseline"/>
                <w:lang w:val="en-US" w:eastAsia="zh-CN"/>
              </w:rPr>
              <w:t>职务/职称</w:t>
            </w:r>
          </w:p>
        </w:tc>
        <w:tc>
          <w:tcPr>
            <w:tcW w:w="1298"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center"/>
              <w:textAlignment w:val="auto"/>
              <w:rPr>
                <w:rFonts w:hint="eastAsia" w:ascii="仿宋" w:hAnsi="仿宋" w:eastAsia="仿宋" w:cs="Times New Roman"/>
                <w:sz w:val="24"/>
                <w:szCs w:val="24"/>
                <w:vertAlign w:val="baseline"/>
                <w:lang w:val="en-US" w:eastAsia="zh-CN"/>
              </w:rPr>
            </w:pPr>
            <w:r>
              <w:rPr>
                <w:rFonts w:hint="eastAsia" w:ascii="仿宋" w:hAnsi="仿宋" w:eastAsia="仿宋" w:cs="Times New Roman"/>
                <w:sz w:val="24"/>
                <w:szCs w:val="24"/>
                <w:vertAlign w:val="baseline"/>
                <w:lang w:val="en-US" w:eastAsia="zh-CN"/>
              </w:rPr>
              <w:t>工作单位</w:t>
            </w:r>
          </w:p>
        </w:tc>
        <w:tc>
          <w:tcPr>
            <w:tcW w:w="1626"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center"/>
              <w:textAlignment w:val="auto"/>
              <w:rPr>
                <w:rFonts w:hint="default" w:ascii="仿宋" w:hAnsi="仿宋" w:eastAsia="仿宋" w:cs="Times New Roman"/>
                <w:sz w:val="24"/>
                <w:szCs w:val="24"/>
                <w:vertAlign w:val="baseline"/>
                <w:lang w:val="en-US" w:eastAsia="zh-CN"/>
              </w:rPr>
            </w:pPr>
            <w:r>
              <w:rPr>
                <w:rFonts w:hint="eastAsia" w:ascii="仿宋" w:hAnsi="仿宋" w:eastAsia="仿宋" w:cs="Times New Roman"/>
                <w:sz w:val="24"/>
                <w:szCs w:val="24"/>
                <w:vertAlign w:val="baseline"/>
                <w:lang w:val="en-US" w:eastAsia="zh-CN"/>
              </w:rPr>
              <w:t>任务分工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exact"/>
          <w:jc w:val="center"/>
        </w:trPr>
        <w:tc>
          <w:tcPr>
            <w:tcW w:w="733"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rPr>
              <w:t>贺子腾</w:t>
            </w:r>
          </w:p>
        </w:tc>
        <w:tc>
          <w:tcPr>
            <w:tcW w:w="531"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男</w:t>
            </w:r>
          </w:p>
        </w:tc>
        <w:tc>
          <w:tcPr>
            <w:tcW w:w="81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助理农艺师</w:t>
            </w:r>
          </w:p>
        </w:tc>
        <w:tc>
          <w:tcPr>
            <w:tcW w:w="1298"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lang w:val="en-US" w:eastAsia="zh-CN"/>
              </w:rPr>
              <w:t>青海互丰农业科技集团有限公司</w:t>
            </w:r>
          </w:p>
        </w:tc>
        <w:tc>
          <w:tcPr>
            <w:tcW w:w="1626"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负责试验开展、标准起草、制定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2" w:hRule="exact"/>
          <w:jc w:val="center"/>
        </w:trPr>
        <w:tc>
          <w:tcPr>
            <w:tcW w:w="733"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rPr>
              <w:t>蔡有华</w:t>
            </w:r>
          </w:p>
        </w:tc>
        <w:tc>
          <w:tcPr>
            <w:tcW w:w="531"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女</w:t>
            </w:r>
          </w:p>
        </w:tc>
        <w:tc>
          <w:tcPr>
            <w:tcW w:w="81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推广研究员</w:t>
            </w:r>
          </w:p>
        </w:tc>
        <w:tc>
          <w:tcPr>
            <w:tcW w:w="1298"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lang w:val="en-US" w:eastAsia="zh-CN"/>
              </w:rPr>
              <w:t>青海互丰农业科技集团有限公司</w:t>
            </w:r>
          </w:p>
        </w:tc>
        <w:tc>
          <w:tcPr>
            <w:tcW w:w="1626"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center"/>
              <w:textAlignment w:val="auto"/>
              <w:rPr>
                <w:rFonts w:hint="default" w:ascii="仿宋" w:hAnsi="仿宋" w:eastAsia="仿宋" w:cs="Times New Roman"/>
                <w:sz w:val="24"/>
                <w:szCs w:val="24"/>
                <w:vertAlign w:val="baseline"/>
                <w:lang w:val="en-US" w:eastAsia="zh-CN"/>
              </w:rPr>
            </w:pPr>
            <w:r>
              <w:rPr>
                <w:rFonts w:hint="eastAsia" w:ascii="仿宋" w:hAnsi="仿宋" w:eastAsia="仿宋" w:cs="仿宋"/>
                <w:sz w:val="24"/>
                <w:szCs w:val="24"/>
                <w:lang w:val="en-US" w:eastAsia="zh-CN"/>
              </w:rPr>
              <w:t>负责标准制定工作组织与协调、标准修改、完善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exact"/>
          <w:jc w:val="center"/>
        </w:trPr>
        <w:tc>
          <w:tcPr>
            <w:tcW w:w="733"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rPr>
              <w:t>贺连珍</w:t>
            </w:r>
          </w:p>
        </w:tc>
        <w:tc>
          <w:tcPr>
            <w:tcW w:w="531"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女</w:t>
            </w:r>
          </w:p>
        </w:tc>
        <w:tc>
          <w:tcPr>
            <w:tcW w:w="81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助理农艺师</w:t>
            </w:r>
          </w:p>
        </w:tc>
        <w:tc>
          <w:tcPr>
            <w:tcW w:w="1298"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lang w:val="en-US" w:eastAsia="zh-CN"/>
              </w:rPr>
              <w:t>青海互丰农业科技集团有限公司</w:t>
            </w:r>
          </w:p>
        </w:tc>
        <w:tc>
          <w:tcPr>
            <w:tcW w:w="1626"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负责试验开展、标准讨论、修改、完善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exact"/>
          <w:jc w:val="center"/>
        </w:trPr>
        <w:tc>
          <w:tcPr>
            <w:tcW w:w="733"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李长满</w:t>
            </w:r>
          </w:p>
        </w:tc>
        <w:tc>
          <w:tcPr>
            <w:tcW w:w="531"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男</w:t>
            </w:r>
          </w:p>
        </w:tc>
        <w:tc>
          <w:tcPr>
            <w:tcW w:w="81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助理农艺师</w:t>
            </w:r>
          </w:p>
        </w:tc>
        <w:tc>
          <w:tcPr>
            <w:tcW w:w="1298"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lang w:val="en-US" w:eastAsia="zh-CN"/>
              </w:rPr>
              <w:t>青海互丰农业科技集团有限公司</w:t>
            </w:r>
          </w:p>
        </w:tc>
        <w:tc>
          <w:tcPr>
            <w:tcW w:w="1626"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负责试验开展、标准讨论、修改、完善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exact"/>
          <w:jc w:val="center"/>
        </w:trPr>
        <w:tc>
          <w:tcPr>
            <w:tcW w:w="733"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刘海棠</w:t>
            </w:r>
          </w:p>
        </w:tc>
        <w:tc>
          <w:tcPr>
            <w:tcW w:w="531"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highlight w:val="none"/>
                <w:lang w:val="en-US" w:eastAsia="zh-CN"/>
              </w:rPr>
              <w:t>女</w:t>
            </w:r>
          </w:p>
        </w:tc>
        <w:tc>
          <w:tcPr>
            <w:tcW w:w="81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highlight w:val="none"/>
                <w:lang w:val="en-US" w:eastAsia="zh-CN"/>
              </w:rPr>
              <w:t>高级农经师</w:t>
            </w:r>
          </w:p>
        </w:tc>
        <w:tc>
          <w:tcPr>
            <w:tcW w:w="1298"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highlight w:val="none"/>
                <w:lang w:val="en-US" w:eastAsia="zh-CN"/>
              </w:rPr>
              <w:t>青海省农业项目指导服务中心</w:t>
            </w:r>
          </w:p>
        </w:tc>
        <w:tc>
          <w:tcPr>
            <w:tcW w:w="1626" w:type="pct"/>
            <w:noWrap w:val="0"/>
            <w:vAlign w:val="center"/>
          </w:tcPr>
          <w:p>
            <w:pPr>
              <w:numPr>
                <w:ilvl w:val="0"/>
                <w:numId w:val="0"/>
              </w:numPr>
              <w:spacing w:line="240" w:lineRule="auto"/>
              <w:ind w:left="0" w:leftChars="0" w:right="-483" w:rightChars="-230" w:firstLine="0" w:firstLineChars="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资料采集、标准讨论、</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highlight w:val="none"/>
                <w:lang w:val="en-US" w:eastAsia="zh-CN"/>
              </w:rPr>
              <w:t>完善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exact"/>
          <w:jc w:val="center"/>
        </w:trPr>
        <w:tc>
          <w:tcPr>
            <w:tcW w:w="733"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朵学玲</w:t>
            </w:r>
          </w:p>
        </w:tc>
        <w:tc>
          <w:tcPr>
            <w:tcW w:w="531"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highlight w:val="none"/>
                <w:lang w:val="en-US" w:eastAsia="zh-CN" w:bidi="ar-SA"/>
              </w:rPr>
            </w:pPr>
            <w:r>
              <w:rPr>
                <w:rFonts w:hint="eastAsia" w:ascii="仿宋" w:hAnsi="仿宋" w:eastAsia="仿宋" w:cs="仿宋"/>
                <w:sz w:val="24"/>
                <w:szCs w:val="24"/>
                <w:highlight w:val="none"/>
                <w:lang w:val="en-US" w:eastAsia="zh-CN"/>
              </w:rPr>
              <w:t>女</w:t>
            </w:r>
          </w:p>
        </w:tc>
        <w:tc>
          <w:tcPr>
            <w:tcW w:w="81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农艺师</w:t>
            </w:r>
          </w:p>
        </w:tc>
        <w:tc>
          <w:tcPr>
            <w:tcW w:w="1298"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highlight w:val="none"/>
                <w:lang w:val="en-US" w:eastAsia="zh-CN" w:bidi="ar-SA"/>
              </w:rPr>
            </w:pPr>
            <w:r>
              <w:rPr>
                <w:rFonts w:hint="eastAsia" w:ascii="仿宋" w:hAnsi="仿宋" w:eastAsia="仿宋" w:cs="仿宋"/>
                <w:sz w:val="24"/>
                <w:szCs w:val="24"/>
                <w:highlight w:val="none"/>
                <w:lang w:val="en-US" w:eastAsia="zh-CN"/>
              </w:rPr>
              <w:t>互助县农产品质量安全监测中心</w:t>
            </w:r>
          </w:p>
        </w:tc>
        <w:tc>
          <w:tcPr>
            <w:tcW w:w="1626" w:type="pct"/>
            <w:noWrap w:val="0"/>
            <w:vAlign w:val="center"/>
          </w:tcPr>
          <w:p>
            <w:pPr>
              <w:numPr>
                <w:ilvl w:val="0"/>
                <w:numId w:val="0"/>
              </w:numPr>
              <w:spacing w:line="240" w:lineRule="auto"/>
              <w:ind w:left="0" w:leftChars="0" w:right="-483" w:rightChars="-230" w:firstLine="0" w:firstLineChars="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资料采集、标准讨论、</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highlight w:val="none"/>
                <w:lang w:val="en-US" w:eastAsia="zh-CN" w:bidi="ar-SA"/>
              </w:rPr>
            </w:pPr>
            <w:r>
              <w:rPr>
                <w:rFonts w:hint="eastAsia" w:ascii="仿宋" w:hAnsi="仿宋" w:eastAsia="仿宋" w:cs="仿宋"/>
                <w:sz w:val="24"/>
                <w:szCs w:val="24"/>
                <w:highlight w:val="none"/>
                <w:lang w:val="en-US" w:eastAsia="zh-CN"/>
              </w:rPr>
              <w:t>完善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1" w:hRule="exact"/>
          <w:jc w:val="center"/>
        </w:trPr>
        <w:tc>
          <w:tcPr>
            <w:tcW w:w="733"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lang w:val="en-US" w:eastAsia="zh-CN"/>
              </w:rPr>
              <w:t>贺生平</w:t>
            </w:r>
          </w:p>
        </w:tc>
        <w:tc>
          <w:tcPr>
            <w:tcW w:w="531"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男</w:t>
            </w:r>
          </w:p>
        </w:tc>
        <w:tc>
          <w:tcPr>
            <w:tcW w:w="81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经理</w:t>
            </w:r>
          </w:p>
        </w:tc>
        <w:tc>
          <w:tcPr>
            <w:tcW w:w="1298"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lang w:val="en-US" w:eastAsia="zh-CN"/>
              </w:rPr>
              <w:t>青海互丰农业科技集团有限公司</w:t>
            </w:r>
          </w:p>
        </w:tc>
        <w:tc>
          <w:tcPr>
            <w:tcW w:w="1626"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Times New Roman"/>
                <w:kern w:val="2"/>
                <w:sz w:val="24"/>
                <w:szCs w:val="24"/>
                <w:vertAlign w:val="baseline"/>
                <w:lang w:val="en-US" w:eastAsia="zh-CN" w:bidi="ar-SA"/>
              </w:rPr>
            </w:pPr>
            <w:r>
              <w:rPr>
                <w:rFonts w:hint="eastAsia" w:ascii="仿宋" w:hAnsi="仿宋" w:eastAsia="仿宋" w:cs="仿宋"/>
                <w:sz w:val="24"/>
                <w:szCs w:val="24"/>
                <w:lang w:val="en-US" w:eastAsia="zh-CN"/>
              </w:rPr>
              <w:t>负责市场调研、标准讨论、完善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1" w:hRule="exact"/>
          <w:jc w:val="center"/>
        </w:trPr>
        <w:tc>
          <w:tcPr>
            <w:tcW w:w="733"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靳彩霞</w:t>
            </w:r>
          </w:p>
        </w:tc>
        <w:tc>
          <w:tcPr>
            <w:tcW w:w="531"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女</w:t>
            </w:r>
          </w:p>
        </w:tc>
        <w:tc>
          <w:tcPr>
            <w:tcW w:w="81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林业工程师</w:t>
            </w:r>
          </w:p>
        </w:tc>
        <w:tc>
          <w:tcPr>
            <w:tcW w:w="1298"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互助县南门峡林场</w:t>
            </w:r>
          </w:p>
        </w:tc>
        <w:tc>
          <w:tcPr>
            <w:tcW w:w="1626"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Times New Roman"/>
                <w:kern w:val="2"/>
                <w:sz w:val="24"/>
                <w:szCs w:val="24"/>
                <w:vertAlign w:val="baseline"/>
                <w:lang w:val="en-US" w:eastAsia="zh-CN" w:bidi="ar-SA"/>
              </w:rPr>
            </w:pPr>
            <w:r>
              <w:rPr>
                <w:rFonts w:hint="eastAsia" w:ascii="仿宋" w:hAnsi="仿宋" w:eastAsia="仿宋" w:cs="仿宋"/>
                <w:sz w:val="24"/>
                <w:szCs w:val="24"/>
                <w:lang w:val="en-US" w:eastAsia="zh-CN"/>
              </w:rPr>
              <w:t>标准起草、讨论、完善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1" w:hRule="exact"/>
          <w:jc w:val="center"/>
        </w:trPr>
        <w:tc>
          <w:tcPr>
            <w:tcW w:w="733"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哈学才</w:t>
            </w:r>
          </w:p>
        </w:tc>
        <w:tc>
          <w:tcPr>
            <w:tcW w:w="531"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男</w:t>
            </w:r>
          </w:p>
        </w:tc>
        <w:tc>
          <w:tcPr>
            <w:tcW w:w="81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技术员</w:t>
            </w:r>
          </w:p>
        </w:tc>
        <w:tc>
          <w:tcPr>
            <w:tcW w:w="1298"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lang w:val="en-US" w:eastAsia="zh-CN"/>
              </w:rPr>
              <w:t>青海互丰农业科技集团有限公司</w:t>
            </w:r>
          </w:p>
        </w:tc>
        <w:tc>
          <w:tcPr>
            <w:tcW w:w="1626" w:type="pct"/>
            <w:noWrap w:val="0"/>
            <w:vAlign w:val="center"/>
          </w:tcPr>
          <w:p>
            <w:pPr>
              <w:numPr>
                <w:ilvl w:val="0"/>
                <w:numId w:val="0"/>
              </w:numPr>
              <w:spacing w:line="240" w:lineRule="auto"/>
              <w:ind w:left="0" w:leftChars="0" w:right="-483" w:rightChars="-23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市场调研、标准讨论、</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完善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exact"/>
          <w:jc w:val="center"/>
        </w:trPr>
        <w:tc>
          <w:tcPr>
            <w:tcW w:w="733"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lang w:eastAsia="zh-CN"/>
              </w:rPr>
              <w:t>胡生隆</w:t>
            </w:r>
          </w:p>
        </w:tc>
        <w:tc>
          <w:tcPr>
            <w:tcW w:w="531"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男</w:t>
            </w:r>
          </w:p>
        </w:tc>
        <w:tc>
          <w:tcPr>
            <w:tcW w:w="81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经理</w:t>
            </w:r>
          </w:p>
        </w:tc>
        <w:tc>
          <w:tcPr>
            <w:tcW w:w="1298"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lang w:val="en-US" w:eastAsia="zh-CN"/>
              </w:rPr>
              <w:t>青海互丰农业科技集团有限公司</w:t>
            </w:r>
          </w:p>
        </w:tc>
        <w:tc>
          <w:tcPr>
            <w:tcW w:w="1626"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center"/>
              <w:textAlignment w:val="auto"/>
              <w:rPr>
                <w:rFonts w:hint="default" w:ascii="仿宋" w:hAnsi="仿宋" w:eastAsia="仿宋" w:cs="Times New Roman"/>
                <w:sz w:val="24"/>
                <w:szCs w:val="24"/>
                <w:vertAlign w:val="baseline"/>
                <w:lang w:val="en-US" w:eastAsia="zh-CN"/>
              </w:rPr>
            </w:pPr>
            <w:r>
              <w:rPr>
                <w:rFonts w:hint="eastAsia" w:ascii="仿宋" w:hAnsi="仿宋" w:eastAsia="仿宋" w:cs="仿宋"/>
                <w:sz w:val="24"/>
                <w:szCs w:val="24"/>
                <w:lang w:val="en-US" w:eastAsia="zh-CN"/>
              </w:rPr>
              <w:t>标准起草、讨论、完善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exact"/>
          <w:jc w:val="center"/>
        </w:trPr>
        <w:tc>
          <w:tcPr>
            <w:tcW w:w="733"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马贤仓</w:t>
            </w:r>
          </w:p>
        </w:tc>
        <w:tc>
          <w:tcPr>
            <w:tcW w:w="531"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男</w:t>
            </w:r>
          </w:p>
        </w:tc>
        <w:tc>
          <w:tcPr>
            <w:tcW w:w="81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林业高级工程师</w:t>
            </w:r>
          </w:p>
        </w:tc>
        <w:tc>
          <w:tcPr>
            <w:tcW w:w="1298"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highlight w:val="none"/>
                <w:lang w:val="en-US" w:eastAsia="zh-CN"/>
              </w:rPr>
              <w:t>互助县林业和草原局</w:t>
            </w:r>
          </w:p>
        </w:tc>
        <w:tc>
          <w:tcPr>
            <w:tcW w:w="1626" w:type="pct"/>
            <w:noWrap w:val="0"/>
            <w:vAlign w:val="center"/>
          </w:tcPr>
          <w:p>
            <w:pPr>
              <w:numPr>
                <w:ilvl w:val="0"/>
                <w:numId w:val="0"/>
              </w:numPr>
              <w:spacing w:line="240" w:lineRule="auto"/>
              <w:ind w:left="0" w:leftChars="0" w:right="-483" w:rightChars="-23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市场调研、标准讨论、</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完善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exact"/>
          <w:jc w:val="center"/>
        </w:trPr>
        <w:tc>
          <w:tcPr>
            <w:tcW w:w="733"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董起德</w:t>
            </w:r>
          </w:p>
        </w:tc>
        <w:tc>
          <w:tcPr>
            <w:tcW w:w="531"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男</w:t>
            </w:r>
          </w:p>
        </w:tc>
        <w:tc>
          <w:tcPr>
            <w:tcW w:w="81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经理</w:t>
            </w:r>
          </w:p>
        </w:tc>
        <w:tc>
          <w:tcPr>
            <w:tcW w:w="1298"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青海互丰农业科</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技集团有限公司</w:t>
            </w:r>
          </w:p>
        </w:tc>
        <w:tc>
          <w:tcPr>
            <w:tcW w:w="1626"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试验开展、标准讨论、</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完善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exact"/>
          <w:jc w:val="center"/>
        </w:trPr>
        <w:tc>
          <w:tcPr>
            <w:tcW w:w="733"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温玉存</w:t>
            </w:r>
          </w:p>
        </w:tc>
        <w:tc>
          <w:tcPr>
            <w:tcW w:w="531"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女</w:t>
            </w:r>
          </w:p>
        </w:tc>
        <w:tc>
          <w:tcPr>
            <w:tcW w:w="81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技术员</w:t>
            </w:r>
          </w:p>
        </w:tc>
        <w:tc>
          <w:tcPr>
            <w:tcW w:w="1298"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青海互丰农业科</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技集团有限公司</w:t>
            </w:r>
          </w:p>
        </w:tc>
        <w:tc>
          <w:tcPr>
            <w:tcW w:w="1626"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试验开展、标准讨论、</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完善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exact"/>
          <w:jc w:val="center"/>
        </w:trPr>
        <w:tc>
          <w:tcPr>
            <w:tcW w:w="733"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董起德</w:t>
            </w:r>
          </w:p>
        </w:tc>
        <w:tc>
          <w:tcPr>
            <w:tcW w:w="531"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男</w:t>
            </w:r>
          </w:p>
        </w:tc>
        <w:tc>
          <w:tcPr>
            <w:tcW w:w="81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经理</w:t>
            </w:r>
          </w:p>
        </w:tc>
        <w:tc>
          <w:tcPr>
            <w:tcW w:w="1298"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青海互丰农业科</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技集团有限公司</w:t>
            </w:r>
          </w:p>
        </w:tc>
        <w:tc>
          <w:tcPr>
            <w:tcW w:w="1626"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试验开展、标准讨论、</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完善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exact"/>
          <w:jc w:val="center"/>
        </w:trPr>
        <w:tc>
          <w:tcPr>
            <w:tcW w:w="733"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韩文婷</w:t>
            </w:r>
          </w:p>
        </w:tc>
        <w:tc>
          <w:tcPr>
            <w:tcW w:w="531"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女</w:t>
            </w:r>
          </w:p>
        </w:tc>
        <w:tc>
          <w:tcPr>
            <w:tcW w:w="81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高级农艺师</w:t>
            </w:r>
          </w:p>
        </w:tc>
        <w:tc>
          <w:tcPr>
            <w:tcW w:w="1298"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青海省农作物</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种子站</w:t>
            </w:r>
          </w:p>
        </w:tc>
        <w:tc>
          <w:tcPr>
            <w:tcW w:w="1626"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标准起草、讨论、完善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exact"/>
          <w:jc w:val="center"/>
        </w:trPr>
        <w:tc>
          <w:tcPr>
            <w:tcW w:w="733"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席田花</w:t>
            </w:r>
          </w:p>
        </w:tc>
        <w:tc>
          <w:tcPr>
            <w:tcW w:w="531"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女</w:t>
            </w:r>
          </w:p>
        </w:tc>
        <w:tc>
          <w:tcPr>
            <w:tcW w:w="81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技术员</w:t>
            </w:r>
          </w:p>
        </w:tc>
        <w:tc>
          <w:tcPr>
            <w:tcW w:w="1298"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青海互丰农业科</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技集团有限公司</w:t>
            </w:r>
          </w:p>
        </w:tc>
        <w:tc>
          <w:tcPr>
            <w:tcW w:w="1626"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试验开展、标准讨论、</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完善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exact"/>
          <w:jc w:val="center"/>
        </w:trPr>
        <w:tc>
          <w:tcPr>
            <w:tcW w:w="733"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赵厚祯</w:t>
            </w:r>
          </w:p>
        </w:tc>
        <w:tc>
          <w:tcPr>
            <w:tcW w:w="531"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女</w:t>
            </w:r>
          </w:p>
        </w:tc>
        <w:tc>
          <w:tcPr>
            <w:tcW w:w="81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技术员</w:t>
            </w:r>
          </w:p>
        </w:tc>
        <w:tc>
          <w:tcPr>
            <w:tcW w:w="1298"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青海互丰农业科</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技集团有限公司</w:t>
            </w:r>
          </w:p>
        </w:tc>
        <w:tc>
          <w:tcPr>
            <w:tcW w:w="1626"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试验开展、标准讨论、</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完善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exact"/>
          <w:jc w:val="center"/>
        </w:trPr>
        <w:tc>
          <w:tcPr>
            <w:tcW w:w="119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柳雄</w:t>
            </w:r>
          </w:p>
        </w:tc>
        <w:tc>
          <w:tcPr>
            <w:tcW w:w="866"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男</w:t>
            </w:r>
          </w:p>
        </w:tc>
        <w:tc>
          <w:tcPr>
            <w:tcW w:w="1321"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助力农艺师</w:t>
            </w:r>
          </w:p>
        </w:tc>
        <w:tc>
          <w:tcPr>
            <w:tcW w:w="2116"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青海省农作物</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种子站</w:t>
            </w:r>
          </w:p>
        </w:tc>
        <w:tc>
          <w:tcPr>
            <w:tcW w:w="2651"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标准起草、讨论、完善</w:t>
            </w:r>
          </w:p>
        </w:tc>
      </w:tr>
    </w:tbl>
    <w:p>
      <w:pPr>
        <w:pStyle w:val="11"/>
        <w:keepNext w:val="0"/>
        <w:keepLines w:val="0"/>
        <w:pageBreakBefore w:val="0"/>
        <w:widowControl/>
        <w:numPr>
          <w:ilvl w:val="0"/>
          <w:numId w:val="2"/>
        </w:numPr>
        <w:kinsoku/>
        <w:wordWrap/>
        <w:overflowPunct/>
        <w:topLinePunct w:val="0"/>
        <w:autoSpaceDE/>
        <w:autoSpaceDN/>
        <w:bidi w:val="0"/>
        <w:adjustRightInd/>
        <w:snapToGrid/>
        <w:spacing w:before="0" w:beforeLines="0" w:after="0" w:afterLines="0"/>
        <w:ind w:left="0" w:firstLine="0"/>
        <w:textAlignment w:val="auto"/>
        <w:outlineLvl w:val="0"/>
        <w:rPr>
          <w:rFonts w:hint="eastAsia" w:ascii="黑体" w:hAnsi="Times New Roman" w:eastAsia="黑体" w:cs="Times New Roman"/>
          <w:kern w:val="2"/>
          <w:sz w:val="32"/>
          <w:szCs w:val="32"/>
          <w:lang w:val="en-US" w:eastAsia="zh-CN" w:bidi="ar-SA"/>
        </w:rPr>
      </w:pPr>
      <w:r>
        <w:rPr>
          <w:rFonts w:hint="eastAsia" w:ascii="黑体" w:hAnsi="Times New Roman" w:eastAsia="黑体" w:cs="Times New Roman"/>
          <w:kern w:val="2"/>
          <w:sz w:val="32"/>
          <w:szCs w:val="32"/>
          <w:lang w:val="en-US" w:eastAsia="zh-CN" w:bidi="ar-SA"/>
        </w:rPr>
        <w:t>制定（修订）标准的必要性和意义</w:t>
      </w:r>
    </w:p>
    <w:p>
      <w:pPr>
        <w:pStyle w:val="10"/>
        <w:keepNext w:val="0"/>
        <w:keepLines w:val="0"/>
        <w:pageBreakBefore w:val="0"/>
        <w:widowControl/>
        <w:tabs>
          <w:tab w:val="center" w:pos="4201"/>
          <w:tab w:val="right" w:leader="dot" w:pos="9298"/>
        </w:tabs>
        <w:kinsoku/>
        <w:wordWrap/>
        <w:overflowPunct/>
        <w:topLinePunct w:val="0"/>
        <w:autoSpaceDE w:val="0"/>
        <w:autoSpaceDN w:val="0"/>
        <w:bidi w:val="0"/>
        <w:adjustRightInd w:val="0"/>
        <w:snapToGrid/>
        <w:ind w:firstLine="64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当归（</w:t>
      </w:r>
      <w:r>
        <w:rPr>
          <w:rFonts w:hint="eastAsia" w:ascii="仿宋" w:hAnsi="仿宋" w:eastAsia="仿宋" w:cs="仿宋"/>
          <w:i/>
          <w:iCs/>
          <w:kern w:val="0"/>
          <w:sz w:val="32"/>
          <w:szCs w:val="32"/>
          <w:lang w:val="en-US" w:eastAsia="zh-CN" w:bidi="ar-SA"/>
        </w:rPr>
        <w:t>Angelica sinensis，</w:t>
      </w:r>
      <w:r>
        <w:rPr>
          <w:rFonts w:hint="eastAsia" w:ascii="仿宋" w:hAnsi="仿宋" w:eastAsia="仿宋" w:cs="仿宋"/>
          <w:kern w:val="0"/>
          <w:sz w:val="32"/>
          <w:szCs w:val="32"/>
          <w:lang w:val="en-US" w:eastAsia="zh-CN" w:bidi="ar-SA"/>
        </w:rPr>
        <w:t>）中国1957年从</w:t>
      </w:r>
      <w:r>
        <w:rPr>
          <w:rFonts w:hint="eastAsia" w:ascii="仿宋" w:hAnsi="仿宋" w:eastAsia="仿宋" w:cs="仿宋"/>
          <w:kern w:val="0"/>
          <w:sz w:val="32"/>
          <w:szCs w:val="32"/>
          <w:lang w:val="en-US" w:eastAsia="zh-CN" w:bidi="ar-SA"/>
        </w:rPr>
        <w:fldChar w:fldCharType="begin"/>
      </w:r>
      <w:r>
        <w:rPr>
          <w:rFonts w:hint="eastAsia" w:ascii="仿宋" w:hAnsi="仿宋" w:eastAsia="仿宋" w:cs="仿宋"/>
          <w:kern w:val="0"/>
          <w:sz w:val="32"/>
          <w:szCs w:val="32"/>
          <w:lang w:val="en-US" w:eastAsia="zh-CN" w:bidi="ar-SA"/>
        </w:rPr>
        <w:instrText xml:space="preserve"> HYPERLINK "https://baike.so.com/doc/3840102-4032232.html" \t "https://baike.so.com/doc/_blank" </w:instrText>
      </w:r>
      <w:r>
        <w:rPr>
          <w:rFonts w:hint="eastAsia" w:ascii="仿宋" w:hAnsi="仿宋" w:eastAsia="仿宋" w:cs="仿宋"/>
          <w:kern w:val="0"/>
          <w:sz w:val="32"/>
          <w:szCs w:val="32"/>
          <w:lang w:val="en-US" w:eastAsia="zh-CN" w:bidi="ar-SA"/>
        </w:rPr>
        <w:fldChar w:fldCharType="separate"/>
      </w:r>
      <w:r>
        <w:rPr>
          <w:rFonts w:hint="eastAsia" w:ascii="仿宋" w:hAnsi="仿宋" w:eastAsia="仿宋" w:cs="仿宋"/>
          <w:kern w:val="0"/>
          <w:sz w:val="32"/>
          <w:szCs w:val="32"/>
          <w:lang w:val="en-US" w:eastAsia="zh-CN" w:bidi="ar-SA"/>
        </w:rPr>
        <w:t>欧洲</w:t>
      </w:r>
      <w:r>
        <w:rPr>
          <w:rFonts w:hint="eastAsia" w:ascii="仿宋" w:hAnsi="仿宋" w:eastAsia="仿宋" w:cs="仿宋"/>
          <w:kern w:val="0"/>
          <w:sz w:val="32"/>
          <w:szCs w:val="32"/>
          <w:lang w:val="en-US" w:eastAsia="zh-CN" w:bidi="ar-SA"/>
        </w:rPr>
        <w:fldChar w:fldCharType="end"/>
      </w:r>
      <w:r>
        <w:rPr>
          <w:rFonts w:hint="eastAsia" w:ascii="仿宋" w:hAnsi="仿宋" w:eastAsia="仿宋" w:cs="仿宋"/>
          <w:kern w:val="0"/>
          <w:sz w:val="32"/>
          <w:szCs w:val="32"/>
          <w:lang w:val="en-US" w:eastAsia="zh-CN" w:bidi="ar-SA"/>
        </w:rPr>
        <w:t xml:space="preserve">引种欧当归。主产甘肃东南部，以岷县产量多，质量好，其次为云南、四川、陕西、湖北等省，均为栽培。国内有些省区也已引种栽培。其根可入药，是最常用的中药之一。具有补血和血，调经止痛，润燥滑肠、抗癌、抗老防老、免疫之功效。    </w:t>
      </w:r>
    </w:p>
    <w:p>
      <w:pPr>
        <w:keepNext w:val="0"/>
        <w:keepLines w:val="0"/>
        <w:pageBreakBefore w:val="0"/>
        <w:widowControl w:val="0"/>
        <w:numPr>
          <w:ilvl w:val="0"/>
          <w:numId w:val="0"/>
        </w:numPr>
        <w:kinsoku/>
        <w:wordWrap/>
        <w:overflowPunct/>
        <w:topLinePunct w:val="0"/>
        <w:autoSpaceDE/>
        <w:autoSpaceDN/>
        <w:bidi w:val="0"/>
        <w:adjustRightInd/>
        <w:snapToGrid/>
        <w:spacing w:before="157" w:beforeLines="50"/>
        <w:textAlignment w:val="auto"/>
        <w:rPr>
          <w:rFonts w:hint="default" w:ascii="仿宋" w:hAnsi="仿宋" w:eastAsia="仿宋" w:cs="仿宋"/>
          <w:kern w:val="0"/>
          <w:sz w:val="32"/>
          <w:szCs w:val="32"/>
          <w:lang w:val="en-US" w:eastAsia="zh-CN" w:bidi="ar-SA"/>
        </w:rPr>
      </w:pPr>
      <w:r>
        <w:rPr>
          <w:rFonts w:hint="default" w:ascii="仿宋" w:hAnsi="仿宋" w:eastAsia="仿宋" w:cs="仿宋"/>
          <w:kern w:val="0"/>
          <w:sz w:val="32"/>
          <w:szCs w:val="32"/>
          <w:lang w:val="en-US" w:eastAsia="zh-CN" w:bidi="ar-SA"/>
        </w:rPr>
        <w:t>为低温长</w:t>
      </w:r>
      <w:r>
        <w:rPr>
          <w:rFonts w:hint="default" w:ascii="仿宋" w:hAnsi="仿宋" w:eastAsia="仿宋" w:cs="仿宋"/>
          <w:kern w:val="0"/>
          <w:sz w:val="32"/>
          <w:szCs w:val="32"/>
          <w:lang w:val="en-US" w:eastAsia="zh-CN" w:bidi="ar-SA"/>
        </w:rPr>
        <w:fldChar w:fldCharType="begin"/>
      </w:r>
      <w:r>
        <w:rPr>
          <w:rFonts w:hint="default" w:ascii="仿宋" w:hAnsi="仿宋" w:eastAsia="仿宋" w:cs="仿宋"/>
          <w:kern w:val="0"/>
          <w:sz w:val="32"/>
          <w:szCs w:val="32"/>
          <w:lang w:val="en-US" w:eastAsia="zh-CN" w:bidi="ar-SA"/>
        </w:rPr>
        <w:instrText xml:space="preserve"> HYPERLINK "https://baike.so.com/doc/6056480-6269515.html" \t "https://baike.so.com/doc/_blank" </w:instrText>
      </w:r>
      <w:r>
        <w:rPr>
          <w:rFonts w:hint="default" w:ascii="仿宋" w:hAnsi="仿宋" w:eastAsia="仿宋" w:cs="仿宋"/>
          <w:kern w:val="0"/>
          <w:sz w:val="32"/>
          <w:szCs w:val="32"/>
          <w:lang w:val="en-US" w:eastAsia="zh-CN" w:bidi="ar-SA"/>
        </w:rPr>
        <w:fldChar w:fldCharType="separate"/>
      </w:r>
      <w:r>
        <w:rPr>
          <w:rFonts w:hint="default" w:ascii="仿宋" w:hAnsi="仿宋" w:eastAsia="仿宋" w:cs="仿宋"/>
          <w:kern w:val="0"/>
          <w:sz w:val="32"/>
          <w:szCs w:val="32"/>
          <w:lang w:val="en-US" w:eastAsia="zh-CN" w:bidi="ar-SA"/>
        </w:rPr>
        <w:t>日照</w:t>
      </w:r>
      <w:r>
        <w:rPr>
          <w:rFonts w:hint="default" w:ascii="仿宋" w:hAnsi="仿宋" w:eastAsia="仿宋" w:cs="仿宋"/>
          <w:kern w:val="0"/>
          <w:sz w:val="32"/>
          <w:szCs w:val="32"/>
          <w:lang w:val="en-US" w:eastAsia="zh-CN" w:bidi="ar-SA"/>
        </w:rPr>
        <w:fldChar w:fldCharType="end"/>
      </w:r>
      <w:r>
        <w:rPr>
          <w:rFonts w:hint="default" w:ascii="仿宋" w:hAnsi="仿宋" w:eastAsia="仿宋" w:cs="仿宋"/>
          <w:kern w:val="0"/>
          <w:sz w:val="32"/>
          <w:szCs w:val="32"/>
          <w:lang w:val="en-US" w:eastAsia="zh-CN" w:bidi="ar-SA"/>
        </w:rPr>
        <w:t>作物，宜高寒凉爽气候，在海拔1500-3000m左右均可栽培。在低海的地区栽培抽苔率高，不易越夏。幼苗期喜阴，透光度为10%，忌烈日直晒；成株能耐强光。</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仿宋" w:hAnsi="仿宋" w:eastAsia="仿宋" w:cs="仿宋"/>
          <w:kern w:val="0"/>
          <w:sz w:val="32"/>
          <w:szCs w:val="32"/>
          <w:lang w:val="en-US" w:eastAsia="zh-CN" w:bidi="ar-SA"/>
        </w:rPr>
      </w:pPr>
      <w:r>
        <w:rPr>
          <w:rFonts w:hint="eastAsia" w:cs="宋体"/>
          <w:sz w:val="32"/>
          <w:szCs w:val="32"/>
          <w:lang w:val="en-US" w:eastAsia="zh-CN"/>
        </w:rPr>
        <w:t xml:space="preserve">    </w:t>
      </w:r>
      <w:r>
        <w:rPr>
          <w:rFonts w:hint="eastAsia" w:ascii="仿宋" w:hAnsi="仿宋" w:eastAsia="仿宋" w:cs="仿宋"/>
          <w:kern w:val="0"/>
          <w:sz w:val="32"/>
          <w:szCs w:val="32"/>
          <w:lang w:val="en-US" w:eastAsia="zh-CN" w:bidi="ar-SA"/>
        </w:rPr>
        <w:t>青海地区其独特的当归属药食两用大宗药材，产品广泛用于保健、养生等领域，当归被誉为“妇科人参"，市场需求量大，价格稳定。加之当归植技术易掌握，当年种植当年采收，收益快，群众种植积极性较高。由此可见，当归产业的发展在发展初期取得了良好的经济效益、生态效益和社会效益。</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640" w:firstLineChars="200"/>
        <w:jc w:val="left"/>
        <w:textAlignment w:val="auto"/>
        <w:rPr>
          <w:rFonts w:hint="default"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但是青海省当归种苗繁育存在较多问题，种苗繁育基地建设滞后，种植技术不成熟，种苗主要依赖甘肃等地生产，引进价格高，种苗等级划分不明确、价格混乱，种源质量难以保证，从而影响青海省中药材产量和品质。</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firstLine="640" w:firstLineChars="200"/>
        <w:jc w:val="left"/>
        <w:textAlignment w:val="auto"/>
        <w:rPr>
          <w:rFonts w:hint="eastAsia" w:ascii="仿宋" w:hAnsi="仿宋" w:eastAsia="仿宋" w:cs="仿宋"/>
          <w:kern w:val="0"/>
          <w:sz w:val="32"/>
          <w:szCs w:val="32"/>
          <w:lang w:val="en-US" w:eastAsia="zh-CN" w:bidi="ar-SA"/>
        </w:rPr>
      </w:pPr>
      <w:r>
        <w:rPr>
          <w:rFonts w:hint="default" w:ascii="仿宋" w:hAnsi="仿宋" w:eastAsia="仿宋" w:cs="仿宋"/>
          <w:kern w:val="0"/>
          <w:sz w:val="32"/>
          <w:szCs w:val="32"/>
          <w:lang w:val="en-US" w:eastAsia="zh-CN" w:bidi="ar-SA"/>
        </w:rPr>
        <w:t>鉴于以上原因</w:t>
      </w:r>
      <w:r>
        <w:rPr>
          <w:rFonts w:hint="eastAsia" w:ascii="仿宋" w:hAnsi="仿宋" w:eastAsia="仿宋" w:cs="仿宋"/>
          <w:kern w:val="0"/>
          <w:sz w:val="32"/>
          <w:szCs w:val="32"/>
          <w:lang w:val="en-US" w:eastAsia="zh-CN" w:bidi="ar-SA"/>
        </w:rPr>
        <w:t>，加快对青海省当归种苗繁育及分级技术的研究，通过不同播种方式、不同环境条件、不同海拔高度的自主繁种育苗试验，形成并制定适宜本地区当归种苗繁育技术及分级标准，对种植户进行科学示范技术推广，推动青海省中药材种植行业标准化、规模化发展很有必要。</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640" w:firstLineChars="200"/>
        <w:jc w:val="left"/>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本标准是针对青海省当归产业中存在的问题，通过多项试验研制定的一项标准。本标准的制定有利于指导药材各个种植户迅速提高优质种苗生产供应能力，快速有效提高产品产量及质量，建立标准化的当归种苗繁育基地。全面提升我省中药材产业发展水平及市场竞争力，增强产业发展后劲，最终实现全省中药材整体产业链良性发展。</w:t>
      </w:r>
    </w:p>
    <w:p>
      <w:pPr>
        <w:pStyle w:val="11"/>
        <w:keepNext w:val="0"/>
        <w:keepLines w:val="0"/>
        <w:pageBreakBefore w:val="0"/>
        <w:widowControl/>
        <w:numPr>
          <w:ilvl w:val="0"/>
          <w:numId w:val="2"/>
        </w:numPr>
        <w:kinsoku/>
        <w:wordWrap/>
        <w:overflowPunct/>
        <w:topLinePunct w:val="0"/>
        <w:autoSpaceDE/>
        <w:autoSpaceDN/>
        <w:bidi w:val="0"/>
        <w:adjustRightInd/>
        <w:snapToGrid/>
        <w:spacing w:before="0" w:beforeLines="0" w:after="0" w:afterLines="0"/>
        <w:ind w:left="0" w:firstLine="0"/>
        <w:textAlignment w:val="auto"/>
        <w:outlineLvl w:val="0"/>
        <w:rPr>
          <w:rFonts w:hint="eastAsia" w:ascii="黑体" w:hAnsi="Times New Roman" w:eastAsia="黑体" w:cs="Times New Roman"/>
          <w:kern w:val="2"/>
          <w:sz w:val="32"/>
          <w:szCs w:val="32"/>
          <w:lang w:val="en-US" w:eastAsia="zh-CN" w:bidi="ar-SA"/>
        </w:rPr>
      </w:pPr>
      <w:r>
        <w:rPr>
          <w:rFonts w:hint="eastAsia" w:ascii="黑体" w:hAnsi="Times New Roman" w:eastAsia="黑体" w:cs="Times New Roman"/>
          <w:kern w:val="2"/>
          <w:sz w:val="32"/>
          <w:szCs w:val="32"/>
          <w:lang w:val="en-US" w:eastAsia="zh-CN" w:bidi="ar-SA"/>
        </w:rPr>
        <w:t>主要起草过程</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321" w:firstLineChars="100"/>
        <w:textAlignment w:val="auto"/>
        <w:outlineLvl w:val="2"/>
        <w:rPr>
          <w:rFonts w:hint="default" w:ascii="仿宋" w:hAnsi="仿宋" w:eastAsia="仿宋" w:cs="仿宋"/>
          <w:b/>
          <w:bCs/>
          <w:sz w:val="32"/>
          <w:szCs w:val="32"/>
          <w:lang w:val="en-US" w:eastAsia="zh-CN"/>
        </w:rPr>
      </w:pPr>
      <w:r>
        <w:rPr>
          <w:rFonts w:hint="eastAsia" w:ascii="仿宋_GB2312" w:eastAsia="仿宋_GB2312"/>
          <w:b/>
          <w:bCs/>
          <w:sz w:val="32"/>
          <w:szCs w:val="32"/>
          <w:lang w:val="en-US" w:eastAsia="zh-CN"/>
        </w:rPr>
        <w:t>1.</w:t>
      </w:r>
      <w:r>
        <w:rPr>
          <w:rFonts w:hint="eastAsia" w:ascii="仿宋" w:hAnsi="仿宋" w:eastAsia="仿宋" w:cs="仿宋"/>
          <w:b/>
          <w:bCs/>
          <w:sz w:val="32"/>
          <w:szCs w:val="32"/>
          <w:lang w:val="en-US" w:eastAsia="zh-CN"/>
        </w:rPr>
        <w:t>市场调研、资料收集、试验论证</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601"/>
        <w:jc w:val="left"/>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自青海互丰农业科技集团有限公司承担</w:t>
      </w:r>
      <w:r>
        <w:rPr>
          <w:rFonts w:hint="eastAsia" w:ascii="仿宋" w:hAnsi="仿宋" w:eastAsia="仿宋" w:cs="仿宋"/>
          <w:sz w:val="32"/>
          <w:szCs w:val="32"/>
          <w:lang w:eastAsia="zh-CN"/>
        </w:rPr>
        <w:t>《中药材种苗繁育基地建设及产业化》项目工作开始，由互丰公司成立项目工作小组，</w:t>
      </w:r>
      <w:r>
        <w:rPr>
          <w:rFonts w:hint="eastAsia" w:ascii="仿宋" w:hAnsi="仿宋" w:eastAsia="仿宋" w:cs="仿宋"/>
          <w:sz w:val="32"/>
          <w:szCs w:val="32"/>
          <w:lang w:val="en-US" w:eastAsia="zh-CN"/>
        </w:rPr>
        <w:t>对青海省大宗中药材种植产业现状进行了市场调研，充分了解我省当归种植区域分布、种植技术、当归生长特征等内容，并外出学习、了解、调研甘肃等地当归等大宗中药材发展现状，查阅相关中药材书籍、网络信息，详细全面的了解我省目前的发展方向，与其他省市相比存在那些技术上、地域上的优劣性，综合分析、总结出现有的突出问题，结合问题提出制定《青海省当归种苗质量标准》团体标准的建议，并成立标准起草小组。</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601"/>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工作小组成员结合分析出的问题，制定工作方案，明确任务分工，确定工作时间及工作重点，在2018-2019年两年分别开展了当归种苗繁育不同播期、播种密度、施肥水平、播种方式、不同种苗大小、种苗形状、病虫害防治、锄草方式等多项试验，收集、分析相关数据，</w:t>
      </w:r>
      <w:r>
        <w:rPr>
          <w:rFonts w:hint="eastAsia" w:ascii="仿宋" w:hAnsi="仿宋" w:eastAsia="仿宋" w:cs="仿宋"/>
          <w:sz w:val="32"/>
          <w:szCs w:val="32"/>
        </w:rPr>
        <w:t>在研究技术资料的支撑下</w:t>
      </w:r>
      <w:r>
        <w:rPr>
          <w:rFonts w:hint="eastAsia" w:ascii="仿宋" w:hAnsi="仿宋" w:eastAsia="仿宋" w:cs="仿宋"/>
          <w:sz w:val="32"/>
          <w:szCs w:val="32"/>
          <w:lang w:eastAsia="zh-CN"/>
        </w:rPr>
        <w:t>，结合</w:t>
      </w:r>
      <w:r>
        <w:rPr>
          <w:rFonts w:hint="eastAsia" w:ascii="仿宋" w:hAnsi="仿宋" w:eastAsia="仿宋" w:cs="仿宋"/>
          <w:sz w:val="32"/>
          <w:szCs w:val="32"/>
        </w:rPr>
        <w:t>生产一线</w:t>
      </w:r>
      <w:r>
        <w:rPr>
          <w:rFonts w:hint="eastAsia" w:ascii="仿宋" w:hAnsi="仿宋" w:eastAsia="仿宋" w:cs="仿宋"/>
          <w:sz w:val="32"/>
          <w:szCs w:val="32"/>
          <w:lang w:eastAsia="zh-CN"/>
        </w:rPr>
        <w:t>示范</w:t>
      </w:r>
      <w:r>
        <w:rPr>
          <w:rFonts w:hint="eastAsia" w:ascii="仿宋" w:hAnsi="仿宋" w:eastAsia="仿宋" w:cs="仿宋"/>
          <w:sz w:val="32"/>
          <w:szCs w:val="32"/>
        </w:rPr>
        <w:t>的调查数据和经验总结</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集成了适宜本地区的当归种苗繁育技术及种苗分级标准。</w:t>
      </w:r>
    </w:p>
    <w:p>
      <w:pPr>
        <w:keepNext w:val="0"/>
        <w:keepLines w:val="0"/>
        <w:pageBreakBefore w:val="0"/>
        <w:widowControl w:val="0"/>
        <w:numPr>
          <w:ilvl w:val="0"/>
          <w:numId w:val="3"/>
        </w:numPr>
        <w:kinsoku/>
        <w:wordWrap/>
        <w:overflowPunct/>
        <w:topLinePunct w:val="0"/>
        <w:autoSpaceDE/>
        <w:autoSpaceDN/>
        <w:bidi w:val="0"/>
        <w:adjustRightInd/>
        <w:snapToGrid/>
        <w:spacing w:line="240" w:lineRule="auto"/>
        <w:ind w:right="-483" w:rightChars="-230" w:firstLine="321" w:firstLineChars="100"/>
        <w:jc w:val="left"/>
        <w:textAlignment w:val="auto"/>
        <w:outlineLvl w:val="2"/>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资料整理、标准起草</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64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各项工作结束后，标准起草小组整理所有试验、大田及调研的相关资料、数据等，开展会议，确定标准草案的编写大纲，并分工细化编写任务，参考相关国家、地方标准，结合我国相关法律法规、制定了本标准草案，为保证标准的科学性和实用性，小组多次开展集中讨论，进一步完善修改标准内容。</w:t>
      </w:r>
    </w:p>
    <w:p>
      <w:pPr>
        <w:keepNext w:val="0"/>
        <w:keepLines w:val="0"/>
        <w:pageBreakBefore w:val="0"/>
        <w:widowControl w:val="0"/>
        <w:numPr>
          <w:ilvl w:val="0"/>
          <w:numId w:val="3"/>
        </w:numPr>
        <w:kinsoku/>
        <w:wordWrap/>
        <w:overflowPunct/>
        <w:topLinePunct w:val="0"/>
        <w:autoSpaceDE/>
        <w:autoSpaceDN/>
        <w:bidi w:val="0"/>
        <w:adjustRightInd/>
        <w:snapToGrid/>
        <w:spacing w:line="240" w:lineRule="auto"/>
        <w:ind w:left="0" w:leftChars="0" w:right="-483" w:rightChars="-230" w:firstLine="321" w:firstLineChars="100"/>
        <w:jc w:val="left"/>
        <w:textAlignment w:val="auto"/>
        <w:outlineLvl w:val="2"/>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意见征求、标准修改</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kern w:val="0"/>
          <w:sz w:val="32"/>
          <w:szCs w:val="32"/>
          <w:lang w:eastAsia="zh-CN"/>
        </w:rPr>
      </w:pPr>
      <w:r>
        <w:rPr>
          <w:rFonts w:hint="eastAsia" w:ascii="仿宋" w:hAnsi="仿宋" w:eastAsia="仿宋"/>
          <w:kern w:val="0"/>
          <w:sz w:val="32"/>
          <w:szCs w:val="32"/>
          <w:lang w:val="en-US" w:eastAsia="zh-CN"/>
        </w:rPr>
        <w:t>本意见稿完成后</w:t>
      </w:r>
      <w:r>
        <w:rPr>
          <w:rFonts w:hint="eastAsia" w:ascii="仿宋" w:hAnsi="仿宋" w:eastAsia="仿宋"/>
          <w:kern w:val="0"/>
          <w:sz w:val="32"/>
          <w:szCs w:val="32"/>
          <w:lang w:eastAsia="zh-CN"/>
        </w:rPr>
        <w:t>，</w:t>
      </w:r>
      <w:r>
        <w:rPr>
          <w:rFonts w:hint="eastAsia" w:ascii="仿宋" w:hAnsi="仿宋" w:eastAsia="仿宋" w:cs="仿宋"/>
          <w:sz w:val="32"/>
          <w:szCs w:val="32"/>
          <w:lang w:val="en-US" w:eastAsia="zh-CN"/>
        </w:rPr>
        <w:t>广泛征求各同行单位及专家意见，结合提出的意见</w:t>
      </w:r>
      <w:r>
        <w:rPr>
          <w:rFonts w:hint="eastAsia" w:ascii="仿宋" w:hAnsi="仿宋" w:eastAsia="仿宋"/>
          <w:kern w:val="0"/>
          <w:sz w:val="32"/>
          <w:szCs w:val="32"/>
        </w:rPr>
        <w:t>对稿件再次进行修改完善</w:t>
      </w:r>
      <w:r>
        <w:rPr>
          <w:rFonts w:hint="eastAsia" w:ascii="仿宋" w:hAnsi="仿宋" w:eastAsia="仿宋" w:cs="仿宋"/>
          <w:sz w:val="32"/>
          <w:szCs w:val="32"/>
          <w:lang w:val="en-US" w:eastAsia="zh-CN"/>
        </w:rPr>
        <w:t>规范整理</w:t>
      </w:r>
      <w:r>
        <w:rPr>
          <w:rFonts w:hint="eastAsia" w:ascii="仿宋" w:hAnsi="仿宋" w:eastAsia="仿宋"/>
          <w:kern w:val="0"/>
          <w:sz w:val="32"/>
          <w:szCs w:val="32"/>
          <w:lang w:eastAsia="zh-CN"/>
        </w:rPr>
        <w:t>，形成送审稿。</w:t>
      </w:r>
    </w:p>
    <w:p>
      <w:pPr>
        <w:pStyle w:val="11"/>
        <w:keepNext w:val="0"/>
        <w:keepLines w:val="0"/>
        <w:pageBreakBefore w:val="0"/>
        <w:widowControl/>
        <w:numPr>
          <w:ilvl w:val="0"/>
          <w:numId w:val="2"/>
        </w:numPr>
        <w:kinsoku/>
        <w:wordWrap/>
        <w:overflowPunct/>
        <w:topLinePunct w:val="0"/>
        <w:autoSpaceDE/>
        <w:autoSpaceDN/>
        <w:bidi w:val="0"/>
        <w:adjustRightInd/>
        <w:snapToGrid/>
        <w:spacing w:before="0" w:beforeLines="0" w:after="0" w:afterLines="0"/>
        <w:ind w:left="0" w:firstLine="0"/>
        <w:textAlignment w:val="auto"/>
        <w:outlineLvl w:val="0"/>
        <w:rPr>
          <w:rFonts w:hint="eastAsia" w:ascii="黑体" w:hAnsi="Times New Roman" w:eastAsia="黑体" w:cs="Times New Roman"/>
          <w:kern w:val="2"/>
          <w:sz w:val="32"/>
          <w:szCs w:val="32"/>
          <w:lang w:val="en-US" w:eastAsia="zh-CN" w:bidi="ar-SA"/>
        </w:rPr>
      </w:pPr>
      <w:r>
        <w:rPr>
          <w:rFonts w:hint="eastAsia" w:ascii="黑体" w:hAnsi="Times New Roman" w:eastAsia="黑体" w:cs="Times New Roman"/>
          <w:kern w:val="2"/>
          <w:sz w:val="32"/>
          <w:szCs w:val="32"/>
          <w:lang w:val="en-US" w:eastAsia="zh-CN" w:bidi="ar-SA"/>
        </w:rPr>
        <w:t>制定（修订）标准的原则和依据，与现行法律、法规、标准的关系</w:t>
      </w:r>
    </w:p>
    <w:p>
      <w:pPr>
        <w:keepNext w:val="0"/>
        <w:keepLines w:val="0"/>
        <w:pageBreakBefore w:val="0"/>
        <w:widowControl w:val="0"/>
        <w:numPr>
          <w:ilvl w:val="0"/>
          <w:numId w:val="4"/>
        </w:numPr>
        <w:kinsoku/>
        <w:wordWrap/>
        <w:overflowPunct/>
        <w:topLinePunct w:val="0"/>
        <w:autoSpaceDE/>
        <w:autoSpaceDN/>
        <w:bidi w:val="0"/>
        <w:adjustRightInd/>
        <w:snapToGrid/>
        <w:spacing w:line="240" w:lineRule="auto"/>
        <w:ind w:leftChars="66" w:right="-483" w:rightChars="-230" w:firstLine="321" w:firstLineChars="100"/>
        <w:jc w:val="left"/>
        <w:textAlignment w:val="auto"/>
        <w:outlineLvl w:val="2"/>
        <w:rPr>
          <w:rFonts w:hint="default" w:ascii="仿宋" w:hAnsi="仿宋" w:eastAsia="仿宋" w:cs="Times New Roman"/>
          <w:b/>
          <w:bCs/>
          <w:sz w:val="32"/>
          <w:szCs w:val="32"/>
          <w:lang w:val="en-US" w:eastAsia="zh-CN"/>
        </w:rPr>
      </w:pPr>
      <w:r>
        <w:rPr>
          <w:rFonts w:hint="eastAsia" w:ascii="仿宋" w:hAnsi="仿宋" w:eastAsia="仿宋" w:cs="Times New Roman"/>
          <w:b/>
          <w:bCs/>
          <w:sz w:val="32"/>
          <w:szCs w:val="32"/>
          <w:lang w:val="en-US" w:eastAsia="zh-CN"/>
        </w:rPr>
        <w:t>编制原则</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600"/>
        <w:jc w:val="left"/>
        <w:textAlignment w:val="auto"/>
        <w:rPr>
          <w:rFonts w:hint="eastAsia" w:ascii="仿宋" w:hAnsi="仿宋" w:eastAsia="仿宋" w:cs="Times New Roman"/>
          <w:sz w:val="32"/>
          <w:szCs w:val="32"/>
          <w:lang w:val="en-US" w:eastAsia="zh-CN"/>
        </w:rPr>
      </w:pPr>
      <w:r>
        <w:rPr>
          <w:rFonts w:hint="eastAsia" w:ascii="仿宋" w:hAnsi="仿宋" w:eastAsia="仿宋" w:cs="Times New Roman"/>
          <w:sz w:val="32"/>
          <w:szCs w:val="32"/>
          <w:lang w:val="en-US" w:eastAsia="zh-CN"/>
        </w:rPr>
        <w:t>本标准的起草过程严格按照工作计划实施，并遵循“科学性、合理性、先进性、使用性、普遍性”的原则，对标准从全面性、简便性、可操作性等方面进行了综合考虑，确保准确发布实施后能够得到有效应用。</w:t>
      </w:r>
    </w:p>
    <w:p>
      <w:pPr>
        <w:keepNext w:val="0"/>
        <w:keepLines w:val="0"/>
        <w:pageBreakBefore w:val="0"/>
        <w:widowControl w:val="0"/>
        <w:numPr>
          <w:ilvl w:val="0"/>
          <w:numId w:val="4"/>
        </w:numPr>
        <w:kinsoku/>
        <w:wordWrap/>
        <w:overflowPunct/>
        <w:topLinePunct w:val="0"/>
        <w:autoSpaceDE/>
        <w:autoSpaceDN/>
        <w:bidi w:val="0"/>
        <w:adjustRightInd/>
        <w:snapToGrid/>
        <w:spacing w:line="240" w:lineRule="auto"/>
        <w:ind w:left="139" w:leftChars="66" w:right="-483" w:rightChars="-230" w:firstLine="321" w:firstLineChars="100"/>
        <w:jc w:val="left"/>
        <w:textAlignment w:val="auto"/>
        <w:outlineLvl w:val="2"/>
        <w:rPr>
          <w:rFonts w:hint="default" w:ascii="仿宋" w:hAnsi="仿宋" w:eastAsia="仿宋" w:cs="Times New Roman"/>
          <w:b/>
          <w:bCs/>
          <w:sz w:val="32"/>
          <w:szCs w:val="32"/>
          <w:lang w:val="en-US" w:eastAsia="zh-CN"/>
        </w:rPr>
      </w:pPr>
      <w:r>
        <w:rPr>
          <w:rFonts w:hint="eastAsia" w:ascii="仿宋" w:hAnsi="仿宋" w:eastAsia="仿宋" w:cs="Times New Roman"/>
          <w:b/>
          <w:bCs/>
          <w:sz w:val="32"/>
          <w:szCs w:val="32"/>
          <w:lang w:val="en-US" w:eastAsia="zh-CN"/>
        </w:rPr>
        <w:t>制定依据</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640" w:firstLineChars="200"/>
        <w:jc w:val="left"/>
        <w:textAlignment w:val="auto"/>
        <w:rPr>
          <w:rFonts w:hint="default" w:ascii="仿宋" w:hAnsi="仿宋" w:eastAsia="仿宋" w:cs="Times New Roman"/>
          <w:sz w:val="32"/>
          <w:szCs w:val="32"/>
          <w:lang w:val="en-US" w:eastAsia="zh-CN"/>
        </w:rPr>
      </w:pPr>
      <w:r>
        <w:rPr>
          <w:rFonts w:hint="eastAsia" w:ascii="仿宋" w:hAnsi="仿宋" w:eastAsia="仿宋" w:cs="Times New Roman"/>
          <w:sz w:val="32"/>
          <w:szCs w:val="32"/>
          <w:lang w:val="en-US" w:eastAsia="zh-CN"/>
        </w:rPr>
        <w:t>本标准严格按照GB/T 1.1-2020《标准化工作导则 第1部分：标准化文件的结构和起草规则》的要求起草。</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66" w:right="-483" w:rightChars="-230" w:firstLine="321" w:firstLineChars="100"/>
        <w:jc w:val="left"/>
        <w:textAlignment w:val="auto"/>
        <w:outlineLvl w:val="2"/>
        <w:rPr>
          <w:rFonts w:hint="default" w:ascii="仿宋" w:hAnsi="仿宋" w:eastAsia="仿宋" w:cs="Times New Roman"/>
          <w:b/>
          <w:bCs/>
          <w:sz w:val="32"/>
          <w:szCs w:val="32"/>
          <w:lang w:val="en-US" w:eastAsia="zh-CN"/>
        </w:rPr>
      </w:pPr>
      <w:r>
        <w:rPr>
          <w:rFonts w:hint="eastAsia" w:ascii="仿宋" w:hAnsi="仿宋" w:eastAsia="仿宋" w:cs="Times New Roman"/>
          <w:b/>
          <w:bCs/>
          <w:sz w:val="32"/>
          <w:szCs w:val="32"/>
          <w:lang w:val="en-US" w:eastAsia="zh-CN"/>
        </w:rPr>
        <w:t>3.与现行法律、法规、标准的关系</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cs="Times New Roman"/>
          <w:sz w:val="32"/>
          <w:szCs w:val="32"/>
          <w:lang w:val="en-US" w:eastAsia="zh-CN"/>
        </w:rPr>
      </w:pPr>
      <w:r>
        <w:rPr>
          <w:rFonts w:hint="eastAsia" w:ascii="仿宋" w:hAnsi="仿宋" w:eastAsia="仿宋" w:cs="Times New Roman"/>
          <w:sz w:val="32"/>
          <w:szCs w:val="32"/>
          <w:lang w:val="en-US" w:eastAsia="zh-CN"/>
        </w:rPr>
        <w:t>本标准与国家有关法律法规、强制性标准及相关产业政策没有冲突。</w:t>
      </w:r>
    </w:p>
    <w:p>
      <w:pPr>
        <w:keepNext w:val="0"/>
        <w:keepLines w:val="0"/>
        <w:pageBreakBefore w:val="0"/>
        <w:widowControl w:val="0"/>
        <w:numPr>
          <w:ilvl w:val="0"/>
          <w:numId w:val="0"/>
        </w:numPr>
        <w:kinsoku/>
        <w:wordWrap/>
        <w:overflowPunct/>
        <w:topLinePunct w:val="0"/>
        <w:autoSpaceDE/>
        <w:autoSpaceDN/>
        <w:bidi w:val="0"/>
        <w:adjustRightInd/>
        <w:snapToGrid/>
        <w:ind w:leftChars="0"/>
        <w:textAlignment w:val="auto"/>
        <w:outlineLvl w:val="0"/>
        <w:rPr>
          <w:rFonts w:hint="eastAsia" w:ascii="黑体" w:hAnsi="Times New Roman" w:eastAsia="黑体" w:cs="Times New Roman"/>
          <w:kern w:val="2"/>
          <w:sz w:val="32"/>
          <w:szCs w:val="32"/>
          <w:lang w:val="en-US" w:eastAsia="zh-CN" w:bidi="ar-SA"/>
        </w:rPr>
      </w:pPr>
      <w:r>
        <w:rPr>
          <w:rFonts w:hint="eastAsia" w:ascii="黑体" w:hAnsi="Times New Roman" w:eastAsia="黑体" w:cs="Times New Roman"/>
          <w:kern w:val="2"/>
          <w:sz w:val="32"/>
          <w:szCs w:val="32"/>
          <w:lang w:val="en-US" w:eastAsia="zh-CN" w:bidi="ar-SA"/>
        </w:rPr>
        <w:t xml:space="preserve">五、主要条款的说明 </w:t>
      </w:r>
    </w:p>
    <w:p>
      <w:pPr>
        <w:numPr>
          <w:ilvl w:val="0"/>
          <w:numId w:val="0"/>
        </w:numPr>
        <w:ind w:leftChars="0" w:firstLine="640" w:firstLineChars="200"/>
        <w:rPr>
          <w:rFonts w:hint="eastAsia" w:ascii="仿宋" w:hAnsi="仿宋" w:eastAsia="仿宋" w:cs="仿宋"/>
          <w:sz w:val="32"/>
          <w:szCs w:val="32"/>
        </w:rPr>
      </w:pPr>
      <w:r>
        <w:rPr>
          <w:rFonts w:hint="eastAsia" w:ascii="仿宋" w:hAnsi="仿宋" w:eastAsia="仿宋" w:cs="仿宋"/>
          <w:sz w:val="32"/>
          <w:szCs w:val="32"/>
        </w:rPr>
        <w:t>本规范采用的技术指标、参数、试验方法、检验规则都是在参考相关规范化方法和国家标准，并根据研究和生产繁育</w:t>
      </w:r>
      <w:r>
        <w:rPr>
          <w:rFonts w:hint="eastAsia" w:ascii="仿宋" w:hAnsi="仿宋" w:eastAsia="仿宋" w:cs="仿宋"/>
          <w:sz w:val="32"/>
          <w:szCs w:val="32"/>
          <w:lang w:eastAsia="zh-CN"/>
        </w:rPr>
        <w:t>经验</w:t>
      </w:r>
      <w:r>
        <w:rPr>
          <w:rFonts w:hint="eastAsia" w:ascii="仿宋" w:hAnsi="仿宋" w:eastAsia="仿宋" w:cs="仿宋"/>
          <w:sz w:val="32"/>
          <w:szCs w:val="32"/>
        </w:rPr>
        <w:t>获得的技术资料与试验结果而制定。</w:t>
      </w:r>
    </w:p>
    <w:p>
      <w:pPr>
        <w:pStyle w:val="11"/>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ind w:leftChars="0"/>
        <w:textAlignment w:val="auto"/>
        <w:rPr>
          <w:rFonts w:hint="eastAsia" w:ascii="楷体_GB2312" w:hAnsi="Times New Roman" w:eastAsia="楷体_GB2312" w:cs="Times New Roman"/>
          <w:kern w:val="2"/>
          <w:sz w:val="32"/>
          <w:szCs w:val="32"/>
          <w:lang w:val="en-US" w:eastAsia="zh-CN" w:bidi="ar-SA"/>
        </w:rPr>
      </w:pPr>
      <w:r>
        <w:rPr>
          <w:rFonts w:hint="eastAsia" w:ascii="楷体_GB2312" w:eastAsia="楷体_GB2312" w:cs="Times New Roman"/>
          <w:kern w:val="2"/>
          <w:sz w:val="32"/>
          <w:szCs w:val="32"/>
          <w:lang w:val="en-US" w:eastAsia="zh-CN" w:bidi="ar-SA"/>
        </w:rPr>
        <w:t>（一）3</w:t>
      </w:r>
      <w:r>
        <w:rPr>
          <w:rFonts w:hint="eastAsia" w:ascii="楷体_GB2312" w:hAnsi="Times New Roman" w:eastAsia="楷体_GB2312" w:cs="Times New Roman"/>
          <w:kern w:val="2"/>
          <w:sz w:val="32"/>
          <w:szCs w:val="32"/>
          <w:lang w:val="en-US" w:eastAsia="zh-CN" w:bidi="ar-SA"/>
        </w:rPr>
        <w:t>术语和定义</w:t>
      </w:r>
    </w:p>
    <w:p>
      <w:pPr>
        <w:numPr>
          <w:ilvl w:val="0"/>
          <w:numId w:val="0"/>
        </w:numPr>
        <w:ind w:firstLine="64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主要对当归苗的质量判定因素名词通用定义。</w:t>
      </w:r>
    </w:p>
    <w:p>
      <w:pPr>
        <w:numPr>
          <w:ilvl w:val="0"/>
          <w:numId w:val="5"/>
        </w:numPr>
        <w:rPr>
          <w:rFonts w:hint="eastAsia" w:ascii="楷体_GB2312" w:hAnsi="Times New Roman" w:eastAsia="楷体_GB2312" w:cs="Times New Roman"/>
          <w:kern w:val="2"/>
          <w:sz w:val="32"/>
          <w:szCs w:val="32"/>
          <w:lang w:val="en-US" w:eastAsia="zh-CN" w:bidi="ar-SA"/>
        </w:rPr>
      </w:pPr>
      <w:r>
        <w:rPr>
          <w:rFonts w:hint="eastAsia" w:ascii="楷体_GB2312" w:hAnsi="Times New Roman" w:eastAsia="楷体_GB2312" w:cs="Times New Roman"/>
          <w:kern w:val="2"/>
          <w:sz w:val="32"/>
          <w:szCs w:val="32"/>
          <w:lang w:val="en-US" w:eastAsia="zh-CN" w:bidi="ar-SA"/>
        </w:rPr>
        <w:t>生产条件</w:t>
      </w:r>
    </w:p>
    <w:p>
      <w:pPr>
        <w:numPr>
          <w:ilvl w:val="0"/>
          <w:numId w:val="0"/>
        </w:numPr>
        <w:ind w:firstLine="64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1.气候条件</w:t>
      </w:r>
    </w:p>
    <w:p>
      <w:pPr>
        <w:numPr>
          <w:ilvl w:val="0"/>
          <w:numId w:val="0"/>
        </w:numPr>
        <w:ind w:firstLine="640"/>
        <w:rPr>
          <w:rFonts w:hint="default" w:ascii="仿宋" w:hAnsi="仿宋" w:eastAsia="仿宋" w:cs="仿宋"/>
          <w:sz w:val="32"/>
          <w:szCs w:val="32"/>
          <w:lang w:val="en-US" w:eastAsia="zh-CN"/>
        </w:rPr>
      </w:pPr>
      <w:r>
        <w:rPr>
          <w:rFonts w:hint="eastAsia" w:ascii="仿宋" w:hAnsi="仿宋" w:eastAsia="仿宋" w:cs="仿宋"/>
          <w:color w:val="0000FF"/>
          <w:sz w:val="32"/>
          <w:szCs w:val="32"/>
          <w:lang w:val="en-US" w:eastAsia="zh-CN"/>
        </w:rPr>
        <w:t>分别在海拔2300m（塘川镇）</w:t>
      </w:r>
      <w:r>
        <w:rPr>
          <w:rFonts w:hint="default" w:ascii="仿宋" w:hAnsi="仿宋" w:eastAsia="仿宋" w:cs="仿宋"/>
          <w:color w:val="0000FF"/>
          <w:sz w:val="32"/>
          <w:szCs w:val="32"/>
          <w:lang w:val="en-US" w:eastAsia="zh-CN"/>
        </w:rPr>
        <w:t>、2500m</w:t>
      </w:r>
      <w:r>
        <w:rPr>
          <w:rFonts w:hint="eastAsia" w:ascii="仿宋" w:hAnsi="仿宋" w:eastAsia="仿宋" w:cs="仿宋"/>
          <w:color w:val="0000FF"/>
          <w:sz w:val="32"/>
          <w:szCs w:val="32"/>
          <w:lang w:val="en-US" w:eastAsia="zh-CN"/>
        </w:rPr>
        <w:t>（互助县卓扎滩）</w:t>
      </w:r>
      <w:r>
        <w:rPr>
          <w:rFonts w:hint="default" w:ascii="仿宋" w:hAnsi="仿宋" w:eastAsia="仿宋" w:cs="仿宋"/>
          <w:color w:val="0000FF"/>
          <w:sz w:val="32"/>
          <w:szCs w:val="32"/>
          <w:lang w:val="en-US" w:eastAsia="zh-CN"/>
        </w:rPr>
        <w:t>、2700m</w:t>
      </w:r>
      <w:r>
        <w:rPr>
          <w:rFonts w:hint="eastAsia" w:ascii="仿宋" w:hAnsi="仿宋" w:eastAsia="仿宋" w:cs="仿宋"/>
          <w:color w:val="0000FF"/>
          <w:sz w:val="32"/>
          <w:szCs w:val="32"/>
          <w:lang w:val="en-US" w:eastAsia="zh-CN"/>
        </w:rPr>
        <w:t>（南门峡西山根）、2800m（丹麻镇补家村）、3000m（丹麻镇锦州村）</w:t>
      </w:r>
      <w:r>
        <w:rPr>
          <w:rFonts w:hint="default" w:ascii="仿宋" w:hAnsi="仿宋" w:eastAsia="仿宋" w:cs="仿宋"/>
          <w:color w:val="0000FF"/>
          <w:sz w:val="32"/>
          <w:szCs w:val="32"/>
          <w:lang w:val="en-US" w:eastAsia="zh-CN"/>
        </w:rPr>
        <w:t xml:space="preserve"> </w:t>
      </w:r>
      <w:r>
        <w:rPr>
          <w:rFonts w:hint="eastAsia" w:ascii="仿宋" w:hAnsi="仿宋" w:eastAsia="仿宋" w:cs="仿宋"/>
          <w:color w:val="0000FF"/>
          <w:sz w:val="32"/>
          <w:szCs w:val="32"/>
          <w:lang w:val="en-US" w:eastAsia="zh-CN"/>
        </w:rPr>
        <w:t>5</w:t>
      </w:r>
      <w:r>
        <w:rPr>
          <w:rFonts w:hint="default" w:ascii="仿宋" w:hAnsi="仿宋" w:eastAsia="仿宋" w:cs="仿宋"/>
          <w:sz w:val="32"/>
          <w:szCs w:val="32"/>
          <w:lang w:val="en-US" w:eastAsia="zh-CN"/>
        </w:rPr>
        <w:t>个区域进行种苗繁育试验。</w:t>
      </w:r>
      <w:r>
        <w:rPr>
          <w:rFonts w:hint="eastAsia" w:ascii="仿宋" w:hAnsi="仿宋" w:eastAsia="仿宋" w:cs="仿宋"/>
          <w:sz w:val="32"/>
          <w:szCs w:val="32"/>
          <w:lang w:val="en-US" w:eastAsia="zh-CN"/>
        </w:rPr>
        <w:t>试验</w:t>
      </w:r>
      <w:r>
        <w:rPr>
          <w:rFonts w:hint="default" w:ascii="仿宋" w:hAnsi="仿宋" w:eastAsia="仿宋" w:cs="仿宋"/>
          <w:sz w:val="32"/>
          <w:szCs w:val="32"/>
          <w:lang w:val="en-US" w:eastAsia="zh-CN"/>
        </w:rPr>
        <w:t>结果表明:海拔2500m</w:t>
      </w:r>
      <w:r>
        <w:rPr>
          <w:rFonts w:hint="eastAsia" w:ascii="仿宋" w:hAnsi="仿宋" w:eastAsia="仿宋" w:cs="仿宋"/>
          <w:sz w:val="32"/>
          <w:szCs w:val="32"/>
          <w:lang w:val="en-US" w:eastAsia="zh-CN"/>
        </w:rPr>
        <w:t>～2800m</w:t>
      </w:r>
      <w:r>
        <w:rPr>
          <w:rFonts w:hint="default" w:ascii="仿宋" w:hAnsi="仿宋" w:eastAsia="仿宋" w:cs="仿宋"/>
          <w:sz w:val="32"/>
          <w:szCs w:val="32"/>
          <w:lang w:val="en-US" w:eastAsia="zh-CN"/>
        </w:rPr>
        <w:t>的地区最理想;海拔2</w:t>
      </w:r>
      <w:r>
        <w:rPr>
          <w:rFonts w:hint="eastAsia" w:ascii="仿宋" w:hAnsi="仿宋" w:eastAsia="仿宋" w:cs="仿宋"/>
          <w:sz w:val="32"/>
          <w:szCs w:val="32"/>
          <w:lang w:val="en-US" w:eastAsia="zh-CN"/>
        </w:rPr>
        <w:t>5</w:t>
      </w:r>
      <w:r>
        <w:rPr>
          <w:rFonts w:hint="default" w:ascii="仿宋" w:hAnsi="仿宋" w:eastAsia="仿宋" w:cs="仿宋"/>
          <w:sz w:val="32"/>
          <w:szCs w:val="32"/>
          <w:lang w:val="en-US" w:eastAsia="zh-CN"/>
        </w:rPr>
        <w:t>00m</w:t>
      </w:r>
      <w:r>
        <w:rPr>
          <w:rFonts w:hint="eastAsia" w:ascii="仿宋" w:hAnsi="仿宋" w:eastAsia="仿宋" w:cs="仿宋"/>
          <w:sz w:val="32"/>
          <w:szCs w:val="32"/>
          <w:lang w:val="en-US" w:eastAsia="zh-CN"/>
        </w:rPr>
        <w:t>以下</w:t>
      </w:r>
      <w:r>
        <w:rPr>
          <w:rFonts w:hint="default" w:ascii="仿宋" w:hAnsi="仿宋" w:eastAsia="仿宋" w:cs="仿宋"/>
          <w:sz w:val="32"/>
          <w:szCs w:val="32"/>
          <w:lang w:val="en-US" w:eastAsia="zh-CN"/>
        </w:rPr>
        <w:t>区域气温偏高、病害较重、成苗早、不易贮苗;海拔2</w:t>
      </w:r>
      <w:r>
        <w:rPr>
          <w:rFonts w:hint="eastAsia" w:ascii="仿宋" w:hAnsi="仿宋" w:eastAsia="仿宋" w:cs="仿宋"/>
          <w:sz w:val="32"/>
          <w:szCs w:val="32"/>
          <w:lang w:val="en-US" w:eastAsia="zh-CN"/>
        </w:rPr>
        <w:t>8</w:t>
      </w:r>
      <w:r>
        <w:rPr>
          <w:rFonts w:hint="default" w:ascii="仿宋" w:hAnsi="仿宋" w:eastAsia="仿宋" w:cs="仿宋"/>
          <w:sz w:val="32"/>
          <w:szCs w:val="32"/>
          <w:lang w:val="en-US" w:eastAsia="zh-CN"/>
        </w:rPr>
        <w:t>00m</w:t>
      </w:r>
      <w:r>
        <w:rPr>
          <w:rFonts w:hint="eastAsia" w:ascii="仿宋" w:hAnsi="仿宋" w:eastAsia="仿宋" w:cs="仿宋"/>
          <w:sz w:val="32"/>
          <w:szCs w:val="32"/>
          <w:lang w:val="en-US" w:eastAsia="zh-CN"/>
        </w:rPr>
        <w:t>以上</w:t>
      </w:r>
      <w:r>
        <w:rPr>
          <w:rFonts w:hint="default" w:ascii="仿宋" w:hAnsi="仿宋" w:eastAsia="仿宋" w:cs="仿宋"/>
          <w:sz w:val="32"/>
          <w:szCs w:val="32"/>
          <w:lang w:val="en-US" w:eastAsia="zh-CN"/>
        </w:rPr>
        <w:t>地区气温偏低、无霜期短、生产缓慢,后期易发生雪灾、冻灾(其中2018年种苗直接冻在地里没能采挖出来)。</w:t>
      </w:r>
    </w:p>
    <w:p>
      <w:pPr>
        <w:numPr>
          <w:ilvl w:val="0"/>
          <w:numId w:val="0"/>
        </w:numPr>
        <w:ind w:leftChars="166"/>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2.地块选择</w:t>
      </w:r>
    </w:p>
    <w:p>
      <w:pPr>
        <w:numPr>
          <w:ilvl w:val="0"/>
          <w:numId w:val="0"/>
        </w:numPr>
        <w:ind w:firstLine="640"/>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分别在生荒地(甘肃普遍推行)和熟耕地进行育苗试验。</w:t>
      </w:r>
      <w:r>
        <w:rPr>
          <w:rFonts w:hint="eastAsia" w:ascii="仿宋" w:hAnsi="仿宋" w:eastAsia="仿宋" w:cs="仿宋"/>
          <w:sz w:val="32"/>
          <w:szCs w:val="32"/>
          <w:lang w:val="en-US" w:eastAsia="zh-CN"/>
        </w:rPr>
        <w:t>试验</w:t>
      </w:r>
      <w:r>
        <w:rPr>
          <w:rFonts w:hint="default" w:ascii="仿宋" w:hAnsi="仿宋" w:eastAsia="仿宋" w:cs="仿宋"/>
          <w:sz w:val="32"/>
          <w:szCs w:val="32"/>
          <w:lang w:val="en-US" w:eastAsia="zh-CN"/>
        </w:rPr>
        <w:t>结果表明:在青海省以选择多年未种植当归,土壤疏松肥沃,通气、透水性能佳,排水良好的熟耕地为宜。在能充分保证种苗质量的前提下产量高,一般优质种苗产量可达</w:t>
      </w:r>
      <w:r>
        <w:rPr>
          <w:rFonts w:hint="eastAsia" w:ascii="仿宋" w:hAnsi="仿宋" w:eastAsia="仿宋" w:cs="仿宋"/>
          <w:sz w:val="32"/>
          <w:szCs w:val="32"/>
          <w:lang w:val="en-US" w:eastAsia="zh-CN"/>
        </w:rPr>
        <w:t>1500</w:t>
      </w:r>
      <w:r>
        <w:rPr>
          <w:rFonts w:hint="eastAsia" w:ascii="仿宋" w:hAnsi="仿宋" w:eastAsia="仿宋" w:cs="仿宋"/>
          <w:i w:val="0"/>
          <w:color w:val="000000"/>
          <w:kern w:val="0"/>
          <w:sz w:val="28"/>
          <w:szCs w:val="28"/>
          <w:u w:val="none"/>
          <w:lang w:val="en-US" w:eastAsia="zh-CN" w:bidi="ar"/>
        </w:rPr>
        <w:t>kg/</w:t>
      </w:r>
      <w:r>
        <w:rPr>
          <w:rFonts w:hint="eastAsia" w:ascii="仿宋" w:hAnsi="仿宋" w:eastAsia="仿宋" w:cs="仿宋"/>
          <w:b w:val="0"/>
          <w:bCs w:val="0"/>
          <w:sz w:val="28"/>
          <w:szCs w:val="28"/>
          <w:highlight w:val="none"/>
          <w:lang w:val="en-US" w:eastAsia="zh-CN"/>
        </w:rPr>
        <w:t>667㎡</w:t>
      </w:r>
      <w:r>
        <w:rPr>
          <w:rFonts w:hint="eastAsia" w:ascii="仿宋" w:hAnsi="仿宋" w:eastAsia="仿宋" w:cs="仿宋"/>
          <w:sz w:val="32"/>
          <w:szCs w:val="32"/>
          <w:lang w:val="en-US" w:eastAsia="zh-CN"/>
        </w:rPr>
        <w:t>，</w:t>
      </w:r>
      <w:r>
        <w:rPr>
          <w:rFonts w:hint="default" w:ascii="仿宋" w:hAnsi="仿宋" w:eastAsia="仿宋" w:cs="仿宋"/>
          <w:sz w:val="32"/>
          <w:szCs w:val="32"/>
          <w:lang w:val="en-US" w:eastAsia="zh-CN"/>
        </w:rPr>
        <w:t>比生荒地产量提高近4</w:t>
      </w:r>
      <w:r>
        <w:rPr>
          <w:rFonts w:hint="eastAsia" w:ascii="仿宋" w:hAnsi="仿宋" w:eastAsia="仿宋" w:cs="仿宋"/>
          <w:sz w:val="32"/>
          <w:szCs w:val="32"/>
          <w:lang w:val="en-US" w:eastAsia="zh-CN"/>
        </w:rPr>
        <w:t>0</w:t>
      </w:r>
      <w:r>
        <w:rPr>
          <w:rFonts w:hint="default" w:ascii="仿宋" w:hAnsi="仿宋" w:eastAsia="仿宋" w:cs="仿宋"/>
          <w:sz w:val="32"/>
          <w:szCs w:val="32"/>
          <w:lang w:val="en-US" w:eastAsia="zh-CN"/>
        </w:rPr>
        <w:t>%。</w:t>
      </w:r>
    </w:p>
    <w:p>
      <w:pPr>
        <w:numPr>
          <w:ilvl w:val="0"/>
          <w:numId w:val="0"/>
        </w:numPr>
        <w:ind w:firstLine="640"/>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2019年通过示范基地（常规未种植当归的熟耕地）、山地、生荒地产量对比，发现熟地增产效果显著。</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560"/>
        <w:jc w:val="center"/>
        <w:textAlignment w:val="auto"/>
        <w:rPr>
          <w:rFonts w:hint="default"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表</w:t>
      </w:r>
      <w:bookmarkStart w:id="0" w:name="_Toc10238"/>
      <w:r>
        <w:rPr>
          <w:rFonts w:hint="eastAsia" w:ascii="仿宋" w:hAnsi="仿宋" w:eastAsia="仿宋" w:cs="仿宋"/>
          <w:kern w:val="2"/>
          <w:sz w:val="32"/>
          <w:szCs w:val="32"/>
          <w:lang w:val="en-US" w:eastAsia="zh-CN" w:bidi="ar-SA"/>
        </w:rPr>
        <w:t>2 2019年各地块当归种苗繁育对比表</w:t>
      </w:r>
      <w:bookmarkEnd w:id="0"/>
    </w:p>
    <w:tbl>
      <w:tblPr>
        <w:tblStyle w:val="5"/>
        <w:tblW w:w="5079" w:type="pct"/>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562"/>
        <w:gridCol w:w="2246"/>
        <w:gridCol w:w="1909"/>
        <w:gridCol w:w="1940"/>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6" w:hRule="atLeast"/>
          <w:jc w:val="center"/>
        </w:trPr>
        <w:tc>
          <w:tcPr>
            <w:tcW w:w="1479" w:type="pct"/>
            <w:tcBorders>
              <w:bottom w:val="single" w:color="auto" w:sz="12" w:space="0"/>
            </w:tcBorders>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育苗地点</w:t>
            </w:r>
          </w:p>
        </w:tc>
        <w:tc>
          <w:tcPr>
            <w:tcW w:w="1297" w:type="pct"/>
            <w:tcBorders>
              <w:bottom w:val="single" w:color="auto" w:sz="12" w:space="0"/>
            </w:tcBorders>
            <w:noWrap w:val="0"/>
            <w:vAlign w:val="top"/>
          </w:tcPr>
          <w:p>
            <w:pPr>
              <w:pStyle w:val="2"/>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下种量/</w:t>
            </w:r>
            <w:r>
              <w:rPr>
                <w:rFonts w:hint="eastAsia" w:ascii="仿宋" w:hAnsi="仿宋" w:eastAsia="仿宋" w:cs="仿宋"/>
                <w:i w:val="0"/>
                <w:color w:val="000000"/>
                <w:kern w:val="0"/>
                <w:sz w:val="28"/>
                <w:szCs w:val="28"/>
                <w:u w:val="none"/>
                <w:lang w:val="en-US" w:eastAsia="zh-CN" w:bidi="ar"/>
              </w:rPr>
              <w:t>kg/</w:t>
            </w:r>
            <w:r>
              <w:rPr>
                <w:rFonts w:hint="eastAsia" w:ascii="仿宋" w:hAnsi="仿宋" w:eastAsia="仿宋" w:cs="仿宋"/>
                <w:b w:val="0"/>
                <w:bCs w:val="0"/>
                <w:sz w:val="28"/>
                <w:szCs w:val="28"/>
                <w:highlight w:val="none"/>
                <w:lang w:val="en-US" w:eastAsia="zh-CN"/>
              </w:rPr>
              <w:t>667㎡</w:t>
            </w:r>
          </w:p>
        </w:tc>
        <w:tc>
          <w:tcPr>
            <w:tcW w:w="1102" w:type="pct"/>
            <w:tcBorders>
              <w:bottom w:val="single" w:color="auto" w:sz="12" w:space="0"/>
            </w:tcBorders>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出苗时间/天</w:t>
            </w:r>
          </w:p>
        </w:tc>
        <w:tc>
          <w:tcPr>
            <w:tcW w:w="1120" w:type="pct"/>
            <w:tcBorders>
              <w:bottom w:val="single" w:color="auto" w:sz="12" w:space="0"/>
            </w:tcBorders>
            <w:noWrap w:val="0"/>
            <w:vAlign w:val="top"/>
          </w:tcPr>
          <w:p>
            <w:pPr>
              <w:pStyle w:val="2"/>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产量/</w:t>
            </w:r>
            <w:r>
              <w:rPr>
                <w:rFonts w:hint="eastAsia" w:ascii="仿宋" w:hAnsi="仿宋" w:eastAsia="仿宋" w:cs="仿宋"/>
                <w:i w:val="0"/>
                <w:color w:val="000000"/>
                <w:kern w:val="0"/>
                <w:sz w:val="28"/>
                <w:szCs w:val="28"/>
                <w:u w:val="none"/>
                <w:lang w:val="en-US" w:eastAsia="zh-CN" w:bidi="ar"/>
              </w:rPr>
              <w:t>kg/</w:t>
            </w:r>
            <w:r>
              <w:rPr>
                <w:rFonts w:hint="eastAsia" w:ascii="仿宋" w:hAnsi="仿宋" w:eastAsia="仿宋" w:cs="仿宋"/>
                <w:b w:val="0"/>
                <w:bCs w:val="0"/>
                <w:sz w:val="28"/>
                <w:szCs w:val="28"/>
                <w:highlight w:val="none"/>
                <w:lang w:val="en-US" w:eastAsia="zh-CN"/>
              </w:rPr>
              <w:t>667㎡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8" w:hRule="atLeast"/>
          <w:jc w:val="center"/>
        </w:trPr>
        <w:tc>
          <w:tcPr>
            <w:tcW w:w="1479" w:type="pct"/>
            <w:tcBorders>
              <w:top w:val="single" w:color="auto" w:sz="12" w:space="0"/>
              <w:tl2br w:val="nil"/>
              <w:tr2bl w:val="nil"/>
            </w:tcBorders>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示范基地</w:t>
            </w:r>
          </w:p>
        </w:tc>
        <w:tc>
          <w:tcPr>
            <w:tcW w:w="1297" w:type="pct"/>
            <w:tcBorders>
              <w:top w:val="single" w:color="auto" w:sz="12" w:space="0"/>
              <w:tl2br w:val="nil"/>
              <w:tr2bl w:val="nil"/>
            </w:tcBorders>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6.5</w:t>
            </w:r>
          </w:p>
        </w:tc>
        <w:tc>
          <w:tcPr>
            <w:tcW w:w="1102" w:type="pct"/>
            <w:tcBorders>
              <w:top w:val="single" w:color="auto" w:sz="12" w:space="0"/>
              <w:tl2br w:val="nil"/>
              <w:tr2bl w:val="nil"/>
            </w:tcBorders>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8-12</w:t>
            </w:r>
          </w:p>
        </w:tc>
        <w:tc>
          <w:tcPr>
            <w:tcW w:w="1120" w:type="pct"/>
            <w:tcBorders>
              <w:top w:val="single" w:color="auto" w:sz="12" w:space="0"/>
              <w:tl2br w:val="nil"/>
              <w:tr2bl w:val="nil"/>
            </w:tcBorders>
            <w:noWrap w:val="0"/>
            <w:vAlign w:val="center"/>
          </w:tcPr>
          <w:p>
            <w:pPr>
              <w:keepNext w:val="0"/>
              <w:keepLines w:val="0"/>
              <w:widowControl/>
              <w:suppressLineNumbers w:val="0"/>
              <w:jc w:val="center"/>
              <w:textAlignment w:val="center"/>
              <w:rPr>
                <w:rFonts w:hint="default"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1091.2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9" w:hRule="atLeast"/>
          <w:jc w:val="center"/>
        </w:trPr>
        <w:tc>
          <w:tcPr>
            <w:tcW w:w="1479" w:type="pct"/>
            <w:tcBorders>
              <w:tl2br w:val="nil"/>
              <w:tr2bl w:val="nil"/>
            </w:tcBorders>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山地</w:t>
            </w:r>
          </w:p>
        </w:tc>
        <w:tc>
          <w:tcPr>
            <w:tcW w:w="1297" w:type="pct"/>
            <w:tcBorders>
              <w:tl2br w:val="nil"/>
              <w:tr2bl w:val="nil"/>
            </w:tcBorders>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8.5</w:t>
            </w:r>
          </w:p>
        </w:tc>
        <w:tc>
          <w:tcPr>
            <w:tcW w:w="1102" w:type="pct"/>
            <w:tcBorders>
              <w:tl2br w:val="nil"/>
              <w:tr2bl w:val="nil"/>
            </w:tcBorders>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10-14</w:t>
            </w:r>
          </w:p>
        </w:tc>
        <w:tc>
          <w:tcPr>
            <w:tcW w:w="1120" w:type="pct"/>
            <w:tcBorders>
              <w:tl2br w:val="nil"/>
              <w:tr2bl w:val="nil"/>
            </w:tcBorders>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780.0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6" w:hRule="atLeast"/>
          <w:jc w:val="center"/>
        </w:trPr>
        <w:tc>
          <w:tcPr>
            <w:tcW w:w="1479" w:type="pct"/>
            <w:tcBorders>
              <w:tl2br w:val="nil"/>
              <w:tr2bl w:val="nil"/>
            </w:tcBorders>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生荒地（资料）</w:t>
            </w:r>
          </w:p>
        </w:tc>
        <w:tc>
          <w:tcPr>
            <w:tcW w:w="1297" w:type="pct"/>
            <w:tcBorders>
              <w:tl2br w:val="nil"/>
              <w:tr2bl w:val="nil"/>
            </w:tcBorders>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8-10</w:t>
            </w:r>
          </w:p>
        </w:tc>
        <w:tc>
          <w:tcPr>
            <w:tcW w:w="1102" w:type="pct"/>
            <w:tcBorders>
              <w:tl2br w:val="nil"/>
              <w:tr2bl w:val="nil"/>
            </w:tcBorders>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10-15</w:t>
            </w:r>
          </w:p>
        </w:tc>
        <w:tc>
          <w:tcPr>
            <w:tcW w:w="1120" w:type="pct"/>
            <w:tcBorders>
              <w:tl2br w:val="nil"/>
              <w:tr2bl w:val="nil"/>
            </w:tcBorders>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760.0</w:t>
            </w:r>
          </w:p>
        </w:tc>
      </w:tr>
    </w:tbl>
    <w:p>
      <w:pPr>
        <w:numPr>
          <w:ilvl w:val="0"/>
          <w:numId w:val="4"/>
        </w:numPr>
        <w:ind w:left="139" w:leftChars="66" w:firstLine="320" w:firstLineChars="1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整地施肥</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atLeast"/>
        <w:ind w:right="0" w:firstLine="640" w:firstLineChars="200"/>
        <w:jc w:val="both"/>
        <w:textAlignment w:val="auto"/>
        <w:rPr>
          <w:rFonts w:hint="default" w:ascii="仿宋" w:hAnsi="仿宋" w:eastAsia="仿宋" w:cs="仿宋"/>
          <w:kern w:val="2"/>
          <w:sz w:val="32"/>
          <w:szCs w:val="32"/>
          <w:lang w:val="en-US" w:eastAsia="zh-CN" w:bidi="ar-SA"/>
        </w:rPr>
      </w:pPr>
      <w:r>
        <w:rPr>
          <w:rFonts w:hint="default" w:ascii="仿宋" w:hAnsi="仿宋" w:eastAsia="仿宋" w:cs="仿宋"/>
          <w:kern w:val="2"/>
          <w:sz w:val="32"/>
          <w:szCs w:val="32"/>
          <w:lang w:val="en-US" w:eastAsia="zh-CN" w:bidi="ar-SA"/>
        </w:rPr>
        <w:t>播种前10d清除地面杂草、杂物,机械深耕30cm左右</w:t>
      </w:r>
      <w:r>
        <w:rPr>
          <w:rFonts w:hint="eastAsia" w:ascii="仿宋" w:hAnsi="仿宋" w:eastAsia="仿宋" w:cs="仿宋"/>
          <w:kern w:val="2"/>
          <w:sz w:val="32"/>
          <w:szCs w:val="32"/>
          <w:lang w:val="en-US" w:eastAsia="zh-CN" w:bidi="ar-SA"/>
        </w:rPr>
        <w:t>，</w:t>
      </w:r>
      <w:r>
        <w:rPr>
          <w:rFonts w:hint="default" w:ascii="仿宋" w:hAnsi="仿宋" w:eastAsia="仿宋" w:cs="仿宋"/>
          <w:kern w:val="2"/>
          <w:sz w:val="32"/>
          <w:szCs w:val="32"/>
          <w:lang w:val="en-US" w:eastAsia="zh-CN" w:bidi="ar-SA"/>
        </w:rPr>
        <w:t>旋耕耙平土壤后作畦,畦高20cm,宽120cm,畦间距</w:t>
      </w:r>
      <w:r>
        <w:rPr>
          <w:rFonts w:hint="eastAsia" w:ascii="仿宋" w:hAnsi="仿宋" w:eastAsia="仿宋" w:cs="仿宋"/>
          <w:kern w:val="2"/>
          <w:sz w:val="32"/>
          <w:szCs w:val="32"/>
          <w:lang w:val="en-US" w:eastAsia="zh-CN" w:bidi="ar-SA"/>
        </w:rPr>
        <w:t>30</w:t>
      </w:r>
      <w:r>
        <w:rPr>
          <w:rFonts w:hint="default" w:ascii="仿宋" w:hAnsi="仿宋" w:eastAsia="仿宋" w:cs="仿宋"/>
          <w:kern w:val="2"/>
          <w:sz w:val="32"/>
          <w:szCs w:val="32"/>
          <w:lang w:val="en-US" w:eastAsia="zh-CN" w:bidi="ar-SA"/>
        </w:rPr>
        <w:t>cm,畦长可依地形而定</w:t>
      </w:r>
      <w:r>
        <w:rPr>
          <w:rFonts w:hint="eastAsia" w:ascii="仿宋" w:hAnsi="仿宋" w:eastAsia="仿宋" w:cs="仿宋"/>
          <w:kern w:val="2"/>
          <w:sz w:val="32"/>
          <w:szCs w:val="32"/>
          <w:lang w:val="en-US" w:eastAsia="zh-CN" w:bidi="ar-SA"/>
        </w:rPr>
        <w:t>，</w:t>
      </w:r>
      <w:r>
        <w:rPr>
          <w:rFonts w:hint="default" w:ascii="仿宋" w:hAnsi="仿宋" w:eastAsia="仿宋" w:cs="仿宋"/>
          <w:kern w:val="2"/>
          <w:sz w:val="32"/>
          <w:szCs w:val="32"/>
          <w:lang w:val="en-US" w:eastAsia="zh-CN" w:bidi="ar-SA"/>
        </w:rPr>
        <w:t>做好排水沟,确保畦面不积水。</w:t>
      </w:r>
    </w:p>
    <w:p>
      <w:pPr>
        <w:numPr>
          <w:ilvl w:val="0"/>
          <w:numId w:val="0"/>
        </w:numPr>
        <w:ind w:firstLine="640" w:firstLineChars="200"/>
        <w:rPr>
          <w:rFonts w:hint="default" w:ascii="仿宋" w:hAnsi="仿宋" w:eastAsia="仿宋" w:cs="仿宋"/>
          <w:kern w:val="2"/>
          <w:sz w:val="32"/>
          <w:szCs w:val="32"/>
          <w:lang w:val="en-US" w:eastAsia="zh-CN" w:bidi="ar-SA"/>
        </w:rPr>
      </w:pPr>
      <w:r>
        <w:rPr>
          <w:rFonts w:hint="default" w:ascii="仿宋" w:hAnsi="仿宋" w:eastAsia="仿宋" w:cs="仿宋"/>
          <w:kern w:val="2"/>
          <w:sz w:val="32"/>
          <w:szCs w:val="32"/>
          <w:lang w:val="en-US" w:eastAsia="zh-CN" w:bidi="ar-SA"/>
        </w:rPr>
        <w:t>设置有机肥、复合肥、专用肥、光碳核肥及磷酸二铵配方肥5种肥料,</w:t>
      </w:r>
      <w:r>
        <w:rPr>
          <w:rFonts w:hint="eastAsia" w:ascii="仿宋" w:hAnsi="仿宋" w:eastAsia="仿宋" w:cs="仿宋"/>
          <w:kern w:val="2"/>
          <w:sz w:val="32"/>
          <w:szCs w:val="32"/>
          <w:lang w:val="en-US" w:eastAsia="zh-CN" w:bidi="ar-SA"/>
        </w:rPr>
        <w:t>每种肥料</w:t>
      </w:r>
      <w:r>
        <w:rPr>
          <w:rFonts w:hint="default" w:ascii="仿宋" w:hAnsi="仿宋" w:eastAsia="仿宋" w:cs="仿宋"/>
          <w:kern w:val="2"/>
          <w:sz w:val="32"/>
          <w:szCs w:val="32"/>
          <w:lang w:val="en-US" w:eastAsia="zh-CN" w:bidi="ar-SA"/>
        </w:rPr>
        <w:t>设3个梯度,每个梯度设3个重复。</w:t>
      </w:r>
      <w:r>
        <w:rPr>
          <w:rFonts w:hint="eastAsia" w:ascii="仿宋" w:hAnsi="仿宋" w:eastAsia="仿宋" w:cs="仿宋"/>
          <w:kern w:val="2"/>
          <w:sz w:val="32"/>
          <w:szCs w:val="32"/>
          <w:lang w:val="en-US" w:eastAsia="zh-CN" w:bidi="ar-SA"/>
        </w:rPr>
        <w:t>试验</w:t>
      </w:r>
      <w:r>
        <w:rPr>
          <w:rFonts w:hint="default" w:ascii="仿宋" w:hAnsi="仿宋" w:eastAsia="仿宋" w:cs="仿宋"/>
          <w:kern w:val="2"/>
          <w:sz w:val="32"/>
          <w:szCs w:val="32"/>
          <w:lang w:val="en-US" w:eastAsia="zh-CN" w:bidi="ar-SA"/>
        </w:rPr>
        <w:t>结果表明</w:t>
      </w:r>
      <w:r>
        <w:rPr>
          <w:rFonts w:hint="eastAsia" w:ascii="仿宋" w:hAnsi="仿宋" w:eastAsia="仿宋" w:cs="仿宋"/>
          <w:kern w:val="2"/>
          <w:sz w:val="32"/>
          <w:szCs w:val="32"/>
          <w:lang w:val="en-US" w:eastAsia="zh-CN" w:bidi="ar-SA"/>
        </w:rPr>
        <w:t>，</w:t>
      </w:r>
      <w:r>
        <w:rPr>
          <w:rFonts w:hint="default" w:ascii="仿宋" w:hAnsi="仿宋" w:eastAsia="仿宋" w:cs="仿宋"/>
          <w:kern w:val="2"/>
          <w:sz w:val="32"/>
          <w:szCs w:val="32"/>
          <w:lang w:val="en-US" w:eastAsia="zh-CN" w:bidi="ar-SA"/>
        </w:rPr>
        <w:t>底肥以每</w:t>
      </w:r>
      <w:r>
        <w:rPr>
          <w:rFonts w:hint="eastAsia" w:ascii="仿宋" w:hAnsi="仿宋" w:eastAsia="仿宋" w:cs="仿宋"/>
          <w:kern w:val="2"/>
          <w:sz w:val="32"/>
          <w:szCs w:val="32"/>
          <w:lang w:val="en-US" w:eastAsia="zh-CN" w:bidi="ar-SA"/>
        </w:rPr>
        <w:t>亩</w:t>
      </w:r>
      <w:r>
        <w:rPr>
          <w:rFonts w:hint="default" w:ascii="仿宋" w:hAnsi="仿宋" w:eastAsia="仿宋" w:cs="仿宋"/>
          <w:kern w:val="2"/>
          <w:sz w:val="32"/>
          <w:szCs w:val="32"/>
          <w:lang w:val="en-US" w:eastAsia="zh-CN" w:bidi="ar-SA"/>
        </w:rPr>
        <w:t>施有机肥(N+P2O5+K2O≥5%,有机质≥45%)250</w:t>
      </w:r>
      <w:r>
        <w:rPr>
          <w:rFonts w:hint="eastAsia" w:ascii="仿宋" w:hAnsi="仿宋" w:eastAsia="仿宋" w:cs="仿宋"/>
          <w:kern w:val="2"/>
          <w:sz w:val="32"/>
          <w:szCs w:val="32"/>
          <w:lang w:val="en-US" w:eastAsia="zh-CN" w:bidi="ar-SA"/>
        </w:rPr>
        <w:t>kg</w:t>
      </w:r>
      <w:r>
        <w:rPr>
          <w:rFonts w:hint="default" w:ascii="仿宋" w:hAnsi="仿宋" w:eastAsia="仿宋" w:cs="仿宋"/>
          <w:kern w:val="2"/>
          <w:sz w:val="32"/>
          <w:szCs w:val="32"/>
          <w:lang w:val="en-US" w:eastAsia="zh-CN" w:bidi="ar-SA"/>
        </w:rPr>
        <w:t>、磷酸二铵50</w:t>
      </w:r>
      <w:r>
        <w:rPr>
          <w:rFonts w:hint="eastAsia" w:ascii="仿宋" w:hAnsi="仿宋" w:eastAsia="仿宋" w:cs="仿宋"/>
          <w:kern w:val="2"/>
          <w:sz w:val="32"/>
          <w:szCs w:val="32"/>
          <w:lang w:val="en-US" w:eastAsia="zh-CN" w:bidi="ar-SA"/>
        </w:rPr>
        <w:t>kg</w:t>
      </w:r>
      <w:r>
        <w:rPr>
          <w:rFonts w:hint="default" w:ascii="仿宋" w:hAnsi="仿宋" w:eastAsia="仿宋" w:cs="仿宋"/>
          <w:kern w:val="2"/>
          <w:sz w:val="32"/>
          <w:szCs w:val="32"/>
          <w:lang w:val="en-US" w:eastAsia="zh-CN" w:bidi="ar-SA"/>
        </w:rPr>
        <w:t>、硫酸钾肥7.5</w:t>
      </w:r>
      <w:r>
        <w:rPr>
          <w:rFonts w:hint="eastAsia" w:ascii="仿宋" w:hAnsi="仿宋" w:eastAsia="仿宋" w:cs="仿宋"/>
          <w:kern w:val="2"/>
          <w:sz w:val="32"/>
          <w:szCs w:val="32"/>
          <w:lang w:val="en-US" w:eastAsia="zh-CN" w:bidi="ar-SA"/>
        </w:rPr>
        <w:t>kg</w:t>
      </w:r>
      <w:r>
        <w:rPr>
          <w:rFonts w:hint="default" w:ascii="仿宋" w:hAnsi="仿宋" w:eastAsia="仿宋" w:cs="仿宋"/>
          <w:kern w:val="2"/>
          <w:sz w:val="32"/>
          <w:szCs w:val="32"/>
          <w:lang w:val="en-US" w:eastAsia="zh-CN" w:bidi="ar-SA"/>
        </w:rPr>
        <w:t>为宜。</w:t>
      </w:r>
    </w:p>
    <w:p>
      <w:pPr>
        <w:numPr>
          <w:ilvl w:val="0"/>
          <w:numId w:val="4"/>
        </w:numPr>
        <w:ind w:left="139" w:leftChars="66" w:firstLine="320" w:firstLineChars="10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播种</w:t>
      </w:r>
    </w:p>
    <w:p>
      <w:pPr>
        <w:numPr>
          <w:ilvl w:val="0"/>
          <w:numId w:val="0"/>
        </w:numPr>
        <w:ind w:leftChars="166"/>
        <w:rPr>
          <w:rFonts w:hint="default"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（1）播期试验研究</w:t>
      </w:r>
    </w:p>
    <w:p>
      <w:pPr>
        <w:numPr>
          <w:ilvl w:val="0"/>
          <w:numId w:val="0"/>
        </w:numPr>
        <w:ind w:firstLine="64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试验共设5月16日、5月27日、6月7日三个播期处理，每个处理三次重复，试验采取随机区组设计，每小区面积为12㎡（2m*6m），种植方式采用起垄撒播，下种量为8kg/667㎡，试验按预定播期播种，统一于9月14号采挖，其余操作完全同步一致。</w:t>
      </w:r>
    </w:p>
    <w:p>
      <w:pPr>
        <w:numPr>
          <w:ilvl w:val="0"/>
          <w:numId w:val="0"/>
        </w:numPr>
        <w:ind w:firstLine="64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试验结果表明，5月27日较5月16日播种的出苗率高出15.4个百分比，出苗时间短4天，种苗长度短3.4cm、苗径小0.33cm、须根数少2.2个，单株鲜重小0.503g，差异都较为明显；6月7日较5月27日出苗率高1.1个百分点，出苗时间短1天，种苗长度短2.0cm、苗径小0.2cm、须根数少0.9个，单株鲜重小0.148g,差异相对较小。由此可得，当归种苗在六月初播种为宜。经大田示范及调查多次验证，6月10日前后播种为最佳播种期，地表温度上升，出苗快，种苗生长期限、收储时间易控制，播种过早，需提前收获，但收获过早，不宜种苗贮藏。</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2"/>
          <w:sz w:val="32"/>
          <w:szCs w:val="32"/>
          <w:lang w:val="en-US" w:eastAsia="zh-CN" w:bidi="ar-SA"/>
        </w:rPr>
      </w:pPr>
      <w:bookmarkStart w:id="1" w:name="_Toc32454"/>
      <w:bookmarkStart w:id="2" w:name="_Toc27891"/>
      <w:bookmarkStart w:id="3" w:name="_Toc4620"/>
      <w:bookmarkStart w:id="4" w:name="_Toc32135"/>
      <w:r>
        <w:rPr>
          <w:rFonts w:hint="eastAsia" w:ascii="仿宋" w:hAnsi="仿宋" w:eastAsia="仿宋" w:cs="仿宋"/>
          <w:kern w:val="2"/>
          <w:sz w:val="32"/>
          <w:szCs w:val="32"/>
          <w:lang w:val="en-US" w:eastAsia="zh-CN" w:bidi="ar-SA"/>
        </w:rPr>
        <w:t xml:space="preserve">表 </w:t>
      </w:r>
      <w:r>
        <w:rPr>
          <w:rFonts w:hint="eastAsia" w:ascii="仿宋" w:hAnsi="仿宋" w:eastAsia="仿宋" w:cs="仿宋"/>
          <w:kern w:val="2"/>
          <w:sz w:val="32"/>
          <w:szCs w:val="32"/>
          <w:lang w:val="en-US" w:eastAsia="zh-CN" w:bidi="ar-SA"/>
        </w:rPr>
        <w:fldChar w:fldCharType="begin"/>
      </w:r>
      <w:r>
        <w:rPr>
          <w:rFonts w:hint="eastAsia" w:ascii="仿宋" w:hAnsi="仿宋" w:eastAsia="仿宋" w:cs="仿宋"/>
          <w:kern w:val="2"/>
          <w:sz w:val="32"/>
          <w:szCs w:val="32"/>
          <w:lang w:val="en-US" w:eastAsia="zh-CN" w:bidi="ar-SA"/>
        </w:rPr>
        <w:instrText xml:space="preserve"> SEQ 表 \* ARABIC </w:instrText>
      </w:r>
      <w:r>
        <w:rPr>
          <w:rFonts w:hint="eastAsia" w:ascii="仿宋" w:hAnsi="仿宋" w:eastAsia="仿宋" w:cs="仿宋"/>
          <w:kern w:val="2"/>
          <w:sz w:val="32"/>
          <w:szCs w:val="32"/>
          <w:lang w:val="en-US" w:eastAsia="zh-CN" w:bidi="ar-SA"/>
        </w:rPr>
        <w:fldChar w:fldCharType="separate"/>
      </w:r>
      <w:r>
        <w:rPr>
          <w:rFonts w:hint="eastAsia" w:ascii="仿宋" w:hAnsi="仿宋" w:eastAsia="仿宋" w:cs="仿宋"/>
          <w:kern w:val="2"/>
          <w:sz w:val="32"/>
          <w:szCs w:val="32"/>
          <w:lang w:val="en-US" w:eastAsia="zh-CN" w:bidi="ar-SA"/>
        </w:rPr>
        <w:t>3</w:t>
      </w:r>
      <w:r>
        <w:rPr>
          <w:rFonts w:hint="eastAsia" w:ascii="仿宋" w:hAnsi="仿宋" w:eastAsia="仿宋" w:cs="仿宋"/>
          <w:kern w:val="2"/>
          <w:sz w:val="32"/>
          <w:szCs w:val="32"/>
          <w:lang w:val="en-US" w:eastAsia="zh-CN" w:bidi="ar-SA"/>
        </w:rPr>
        <w:fldChar w:fldCharType="end"/>
      </w:r>
      <w:bookmarkStart w:id="5" w:name="_Toc16376"/>
      <w:r>
        <w:rPr>
          <w:rFonts w:hint="eastAsia" w:ascii="仿宋" w:hAnsi="仿宋" w:eastAsia="仿宋" w:cs="仿宋"/>
          <w:kern w:val="2"/>
          <w:sz w:val="32"/>
          <w:szCs w:val="32"/>
          <w:lang w:val="en-US" w:eastAsia="zh-CN" w:bidi="ar-SA"/>
        </w:rPr>
        <w:t xml:space="preserve"> 播期试验考种表</w:t>
      </w:r>
      <w:bookmarkEnd w:id="1"/>
      <w:bookmarkEnd w:id="2"/>
      <w:bookmarkEnd w:id="3"/>
      <w:bookmarkEnd w:id="4"/>
      <w:bookmarkEnd w:id="5"/>
    </w:p>
    <w:tbl>
      <w:tblPr>
        <w:tblStyle w:val="5"/>
        <w:tblW w:w="4997" w:type="pct"/>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49"/>
        <w:gridCol w:w="803"/>
        <w:gridCol w:w="1004"/>
        <w:gridCol w:w="1383"/>
        <w:gridCol w:w="1163"/>
        <w:gridCol w:w="941"/>
        <w:gridCol w:w="1270"/>
        <w:gridCol w:w="804"/>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7" w:hRule="exact"/>
          <w:jc w:val="center"/>
        </w:trPr>
        <w:tc>
          <w:tcPr>
            <w:tcW w:w="674" w:type="pct"/>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播期</w:t>
            </w:r>
          </w:p>
        </w:tc>
        <w:tc>
          <w:tcPr>
            <w:tcW w:w="471" w:type="pct"/>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出苗时间</w:t>
            </w:r>
          </w:p>
        </w:tc>
        <w:tc>
          <w:tcPr>
            <w:tcW w:w="589" w:type="pct"/>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出苗率</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w:t>
            </w:r>
          </w:p>
        </w:tc>
        <w:tc>
          <w:tcPr>
            <w:tcW w:w="811" w:type="pct"/>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种苗长度</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/cm</w:t>
            </w:r>
          </w:p>
        </w:tc>
        <w:tc>
          <w:tcPr>
            <w:tcW w:w="682" w:type="pct"/>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种苗直径</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/cm</w:t>
            </w:r>
          </w:p>
        </w:tc>
        <w:tc>
          <w:tcPr>
            <w:tcW w:w="552" w:type="pct"/>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须根数</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/个</w:t>
            </w:r>
          </w:p>
        </w:tc>
        <w:tc>
          <w:tcPr>
            <w:tcW w:w="745" w:type="pct"/>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单株鲜重</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/g</w:t>
            </w:r>
          </w:p>
        </w:tc>
        <w:tc>
          <w:tcPr>
            <w:tcW w:w="471" w:type="pct"/>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苗龄</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/天</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9" w:hRule="exact"/>
          <w:jc w:val="center"/>
        </w:trPr>
        <w:tc>
          <w:tcPr>
            <w:tcW w:w="674" w:type="pct"/>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5/16</w:t>
            </w:r>
          </w:p>
        </w:tc>
        <w:tc>
          <w:tcPr>
            <w:tcW w:w="471" w:type="pct"/>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17</w:t>
            </w:r>
          </w:p>
        </w:tc>
        <w:tc>
          <w:tcPr>
            <w:tcW w:w="589" w:type="pct"/>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 xml:space="preserve">75.9 75.9 </w:t>
            </w:r>
          </w:p>
        </w:tc>
        <w:tc>
          <w:tcPr>
            <w:tcW w:w="811" w:type="pct"/>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19.3</w:t>
            </w:r>
          </w:p>
        </w:tc>
        <w:tc>
          <w:tcPr>
            <w:tcW w:w="682" w:type="pct"/>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1.02</w:t>
            </w:r>
          </w:p>
        </w:tc>
        <w:tc>
          <w:tcPr>
            <w:tcW w:w="552" w:type="pct"/>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3.4</w:t>
            </w:r>
          </w:p>
        </w:tc>
        <w:tc>
          <w:tcPr>
            <w:tcW w:w="745" w:type="pct"/>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1.224</w:t>
            </w:r>
          </w:p>
        </w:tc>
        <w:tc>
          <w:tcPr>
            <w:tcW w:w="471" w:type="pct"/>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121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674" w:type="pct"/>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5/27</w:t>
            </w:r>
          </w:p>
        </w:tc>
        <w:tc>
          <w:tcPr>
            <w:tcW w:w="471" w:type="pct"/>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13</w:t>
            </w:r>
          </w:p>
        </w:tc>
        <w:tc>
          <w:tcPr>
            <w:tcW w:w="589" w:type="pct"/>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91.3</w:t>
            </w:r>
          </w:p>
        </w:tc>
        <w:tc>
          <w:tcPr>
            <w:tcW w:w="811" w:type="pct"/>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15.9</w:t>
            </w:r>
          </w:p>
        </w:tc>
        <w:tc>
          <w:tcPr>
            <w:tcW w:w="682" w:type="pct"/>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0.69</w:t>
            </w:r>
          </w:p>
        </w:tc>
        <w:tc>
          <w:tcPr>
            <w:tcW w:w="552" w:type="pct"/>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1.1</w:t>
            </w:r>
          </w:p>
        </w:tc>
        <w:tc>
          <w:tcPr>
            <w:tcW w:w="745" w:type="pct"/>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0.721</w:t>
            </w:r>
          </w:p>
        </w:tc>
        <w:tc>
          <w:tcPr>
            <w:tcW w:w="471" w:type="pct"/>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110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 w:hRule="exact"/>
          <w:jc w:val="center"/>
        </w:trPr>
        <w:tc>
          <w:tcPr>
            <w:tcW w:w="674" w:type="pct"/>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6/7</w:t>
            </w:r>
          </w:p>
        </w:tc>
        <w:tc>
          <w:tcPr>
            <w:tcW w:w="471" w:type="pct"/>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12</w:t>
            </w:r>
          </w:p>
        </w:tc>
        <w:tc>
          <w:tcPr>
            <w:tcW w:w="589" w:type="pct"/>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92.4</w:t>
            </w:r>
          </w:p>
        </w:tc>
        <w:tc>
          <w:tcPr>
            <w:tcW w:w="811" w:type="pct"/>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13.9</w:t>
            </w:r>
          </w:p>
        </w:tc>
        <w:tc>
          <w:tcPr>
            <w:tcW w:w="682" w:type="pct"/>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0.49</w:t>
            </w:r>
          </w:p>
        </w:tc>
        <w:tc>
          <w:tcPr>
            <w:tcW w:w="552" w:type="pct"/>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0.2</w:t>
            </w:r>
          </w:p>
        </w:tc>
        <w:tc>
          <w:tcPr>
            <w:tcW w:w="745" w:type="pct"/>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0.573</w:t>
            </w:r>
          </w:p>
        </w:tc>
        <w:tc>
          <w:tcPr>
            <w:tcW w:w="471" w:type="pct"/>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99</w:t>
            </w:r>
          </w:p>
        </w:tc>
      </w:tr>
    </w:tbl>
    <w:p>
      <w:pPr>
        <w:numPr>
          <w:ilvl w:val="0"/>
          <w:numId w:val="0"/>
        </w:numPr>
        <w:ind w:firstLine="640" w:firstLineChars="20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（2）播种量</w:t>
      </w:r>
    </w:p>
    <w:p>
      <w:pPr>
        <w:numPr>
          <w:ilvl w:val="0"/>
          <w:numId w:val="0"/>
        </w:numPr>
        <w:ind w:firstLine="64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试验共设5kg/667㎡、10kg/667㎡、15kg/667㎡三个播量处理，每个处理三次重复，试验采取随机区组设计，每小区面积为12㎡（2m*6m），种植方式采用起垄撒播，试验统一于6月1日播种，9月14号采挖，其余操作完全同步一致。</w:t>
      </w:r>
    </w:p>
    <w:p>
      <w:pPr>
        <w:numPr>
          <w:ilvl w:val="0"/>
          <w:numId w:val="0"/>
        </w:numPr>
        <w:ind w:firstLine="64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试验结果表明，三种播量下，对种苗无显著影响，苗径、须根数、单株鲜重随着播量增大，均逐渐减小，10kg/667㎡的处理较5kg/667㎡处理分别减小0.05cm、1.2个、0.077g，15kg/667㎡的处理较10kg/667m</w:t>
      </w:r>
      <w:r>
        <w:rPr>
          <w:rFonts w:hint="eastAsia" w:ascii="仿宋" w:hAnsi="仿宋" w:eastAsia="仿宋" w:cs="仿宋"/>
          <w:sz w:val="32"/>
          <w:szCs w:val="32"/>
          <w:vertAlign w:val="superscript"/>
          <w:lang w:val="en-US" w:eastAsia="zh-CN"/>
        </w:rPr>
        <w:t>2</w:t>
      </w:r>
      <w:r>
        <w:rPr>
          <w:rFonts w:hint="eastAsia" w:ascii="仿宋" w:hAnsi="仿宋" w:eastAsia="仿宋" w:cs="仿宋"/>
          <w:sz w:val="32"/>
          <w:szCs w:val="32"/>
          <w:lang w:val="en-US" w:eastAsia="zh-CN"/>
        </w:rPr>
        <w:t>处理分别减小0.02cm、1个、0.023g，后者差异相对小于前者。分析原因：小于5kg的处理出苗稀少，单位面积内保苗数过小，种苗生长空间大养分过剩，生长快速，在相同的生育期内极易长成大苗，且每次除草易带拔出部分种苗,15kg/667m2的处理播种量过大,出苗过稠,不仅苗子弱小,且成本高。</w:t>
      </w:r>
    </w:p>
    <w:p>
      <w:pPr>
        <w:numPr>
          <w:ilvl w:val="0"/>
          <w:numId w:val="0"/>
        </w:numPr>
        <w:ind w:firstLine="64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结合大田种苗繁育示范，下种量在8kg/667㎡,相同生育期下抽样测量，苗长、苗径、苗鲜重分别为15.4cm、0.60cm、0.499g，苗径同试验田第二、三处理相差不大，综合考虑成本等因素，可得出，当归种苗繁育适宜播种量为在8-10kg/667㎡左右为宜。</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 xml:space="preserve">表 </w:t>
      </w:r>
      <w:r>
        <w:rPr>
          <w:rFonts w:hint="eastAsia" w:ascii="仿宋" w:hAnsi="仿宋" w:eastAsia="仿宋" w:cs="仿宋"/>
          <w:kern w:val="2"/>
          <w:sz w:val="32"/>
          <w:szCs w:val="32"/>
          <w:lang w:val="en-US" w:eastAsia="zh-CN" w:bidi="ar-SA"/>
        </w:rPr>
        <w:fldChar w:fldCharType="begin"/>
      </w:r>
      <w:r>
        <w:rPr>
          <w:rFonts w:hint="eastAsia" w:ascii="仿宋" w:hAnsi="仿宋" w:eastAsia="仿宋" w:cs="仿宋"/>
          <w:kern w:val="2"/>
          <w:sz w:val="32"/>
          <w:szCs w:val="32"/>
          <w:lang w:val="en-US" w:eastAsia="zh-CN" w:bidi="ar-SA"/>
        </w:rPr>
        <w:instrText xml:space="preserve"> SEQ 表 \* ARABIC </w:instrText>
      </w:r>
      <w:r>
        <w:rPr>
          <w:rFonts w:hint="eastAsia" w:ascii="仿宋" w:hAnsi="仿宋" w:eastAsia="仿宋" w:cs="仿宋"/>
          <w:kern w:val="2"/>
          <w:sz w:val="32"/>
          <w:szCs w:val="32"/>
          <w:lang w:val="en-US" w:eastAsia="zh-CN" w:bidi="ar-SA"/>
        </w:rPr>
        <w:fldChar w:fldCharType="separate"/>
      </w:r>
      <w:r>
        <w:rPr>
          <w:rFonts w:hint="eastAsia" w:ascii="仿宋" w:hAnsi="仿宋" w:eastAsia="仿宋" w:cs="仿宋"/>
          <w:kern w:val="2"/>
          <w:sz w:val="32"/>
          <w:szCs w:val="32"/>
          <w:lang w:val="en-US" w:eastAsia="zh-CN" w:bidi="ar-SA"/>
        </w:rPr>
        <w:t>4</w:t>
      </w:r>
      <w:r>
        <w:rPr>
          <w:rFonts w:hint="eastAsia" w:ascii="仿宋" w:hAnsi="仿宋" w:eastAsia="仿宋" w:cs="仿宋"/>
          <w:kern w:val="2"/>
          <w:sz w:val="32"/>
          <w:szCs w:val="32"/>
          <w:lang w:val="en-US" w:eastAsia="zh-CN" w:bidi="ar-SA"/>
        </w:rPr>
        <w:fldChar w:fldCharType="end"/>
      </w:r>
      <w:bookmarkStart w:id="6" w:name="_Toc24341"/>
      <w:r>
        <w:rPr>
          <w:rFonts w:hint="eastAsia" w:ascii="仿宋" w:hAnsi="仿宋" w:eastAsia="仿宋" w:cs="仿宋"/>
          <w:kern w:val="2"/>
          <w:sz w:val="32"/>
          <w:szCs w:val="32"/>
          <w:lang w:val="en-US" w:eastAsia="zh-CN" w:bidi="ar-SA"/>
        </w:rPr>
        <w:t xml:space="preserve"> 密度试验考种表</w:t>
      </w:r>
      <w:bookmarkEnd w:id="6"/>
    </w:p>
    <w:tbl>
      <w:tblPr>
        <w:tblStyle w:val="5"/>
        <w:tblW w:w="8797" w:type="dxa"/>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59"/>
        <w:gridCol w:w="1759"/>
        <w:gridCol w:w="1759"/>
        <w:gridCol w:w="1760"/>
        <w:gridCol w:w="1760"/>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2" w:hRule="atLeast"/>
        </w:trPr>
        <w:tc>
          <w:tcPr>
            <w:tcW w:w="1759" w:type="dxa"/>
            <w:tcBorders>
              <w:bottom w:val="single" w:color="auto" w:sz="12" w:space="0"/>
            </w:tcBorders>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处理</w:t>
            </w:r>
          </w:p>
        </w:tc>
        <w:tc>
          <w:tcPr>
            <w:tcW w:w="1759" w:type="dxa"/>
            <w:tcBorders>
              <w:bottom w:val="single" w:color="auto" w:sz="12" w:space="0"/>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种苗长度</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/cm</w:t>
            </w:r>
          </w:p>
        </w:tc>
        <w:tc>
          <w:tcPr>
            <w:tcW w:w="1759" w:type="dxa"/>
            <w:tcBorders>
              <w:bottom w:val="single" w:color="auto" w:sz="12" w:space="0"/>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种苗直径</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/cm</w:t>
            </w:r>
          </w:p>
        </w:tc>
        <w:tc>
          <w:tcPr>
            <w:tcW w:w="1760" w:type="dxa"/>
            <w:tcBorders>
              <w:bottom w:val="single" w:color="auto" w:sz="12" w:space="0"/>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须根数</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/个</w:t>
            </w:r>
          </w:p>
        </w:tc>
        <w:tc>
          <w:tcPr>
            <w:tcW w:w="1760" w:type="dxa"/>
            <w:tcBorders>
              <w:bottom w:val="single" w:color="auto" w:sz="12" w:space="0"/>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单株鲜重</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/g</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759" w:type="dxa"/>
            <w:tcBorders>
              <w:top w:val="single" w:color="auto" w:sz="12" w:space="0"/>
              <w:tl2br w:val="nil"/>
              <w:tr2bl w:val="nil"/>
            </w:tcBorders>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5kg/667㎡</w:t>
            </w:r>
          </w:p>
        </w:tc>
        <w:tc>
          <w:tcPr>
            <w:tcW w:w="1759" w:type="dxa"/>
            <w:tcBorders>
              <w:top w:val="single" w:color="auto" w:sz="12" w:space="0"/>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 xml:space="preserve">19.6 </w:t>
            </w:r>
          </w:p>
        </w:tc>
        <w:tc>
          <w:tcPr>
            <w:tcW w:w="1759" w:type="dxa"/>
            <w:tcBorders>
              <w:top w:val="single" w:color="auto" w:sz="12" w:space="0"/>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0.66</w:t>
            </w:r>
          </w:p>
        </w:tc>
        <w:tc>
          <w:tcPr>
            <w:tcW w:w="1760" w:type="dxa"/>
            <w:tcBorders>
              <w:top w:val="single" w:color="auto" w:sz="12" w:space="0"/>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 xml:space="preserve">2.2 </w:t>
            </w:r>
          </w:p>
        </w:tc>
        <w:tc>
          <w:tcPr>
            <w:tcW w:w="1760" w:type="dxa"/>
            <w:tcBorders>
              <w:top w:val="single" w:color="auto" w:sz="12" w:space="0"/>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0.615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759" w:type="dxa"/>
            <w:tcBorders>
              <w:tl2br w:val="nil"/>
              <w:tr2bl w:val="nil"/>
            </w:tcBorders>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10kg/667㎡</w:t>
            </w:r>
          </w:p>
        </w:tc>
        <w:tc>
          <w:tcPr>
            <w:tcW w:w="1759" w:type="dxa"/>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 xml:space="preserve">17.4 </w:t>
            </w:r>
          </w:p>
        </w:tc>
        <w:tc>
          <w:tcPr>
            <w:tcW w:w="1759" w:type="dxa"/>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 xml:space="preserve">0.61 </w:t>
            </w:r>
          </w:p>
        </w:tc>
        <w:tc>
          <w:tcPr>
            <w:tcW w:w="1760" w:type="dxa"/>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 xml:space="preserve">1.0 </w:t>
            </w:r>
          </w:p>
        </w:tc>
        <w:tc>
          <w:tcPr>
            <w:tcW w:w="1760" w:type="dxa"/>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 xml:space="preserve">0.538 </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6" w:hRule="atLeast"/>
        </w:trPr>
        <w:tc>
          <w:tcPr>
            <w:tcW w:w="1759" w:type="dxa"/>
            <w:tcBorders>
              <w:tl2br w:val="nil"/>
              <w:tr2bl w:val="nil"/>
            </w:tcBorders>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15kg/667㎡</w:t>
            </w:r>
          </w:p>
        </w:tc>
        <w:tc>
          <w:tcPr>
            <w:tcW w:w="1759" w:type="dxa"/>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 xml:space="preserve">19.1 </w:t>
            </w:r>
          </w:p>
        </w:tc>
        <w:tc>
          <w:tcPr>
            <w:tcW w:w="1759" w:type="dxa"/>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0.59</w:t>
            </w:r>
          </w:p>
        </w:tc>
        <w:tc>
          <w:tcPr>
            <w:tcW w:w="1760" w:type="dxa"/>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0.0</w:t>
            </w:r>
          </w:p>
        </w:tc>
        <w:tc>
          <w:tcPr>
            <w:tcW w:w="1760" w:type="dxa"/>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 xml:space="preserve">0.515 </w:t>
            </w:r>
          </w:p>
        </w:tc>
      </w:tr>
    </w:tbl>
    <w:p>
      <w:pPr>
        <w:keepNext w:val="0"/>
        <w:keepLines w:val="0"/>
        <w:pageBreakBefore w:val="0"/>
        <w:widowControl w:val="0"/>
        <w:numPr>
          <w:ilvl w:val="0"/>
          <w:numId w:val="6"/>
        </w:numPr>
        <w:kinsoku/>
        <w:wordWrap/>
        <w:overflowPunct/>
        <w:topLinePunct w:val="0"/>
        <w:autoSpaceDE/>
        <w:autoSpaceDN/>
        <w:bidi w:val="0"/>
        <w:adjustRightInd/>
        <w:snapToGrid/>
        <w:ind w:left="640" w:leftChars="0" w:firstLine="0" w:firstLineChars="0"/>
        <w:textAlignment w:val="auto"/>
        <w:outlineLvl w:val="1"/>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播种方式</w:t>
      </w:r>
    </w:p>
    <w:p>
      <w:pPr>
        <w:numPr>
          <w:ilvl w:val="0"/>
          <w:numId w:val="0"/>
        </w:numPr>
        <w:ind w:firstLine="64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试验设起垄撒播、条播两种方式对比，垄高15cm,垄宽1.2m。条播：垄上用竹签开浅沟，行距8-10cm，垄面播撒种子后覆土。</w:t>
      </w:r>
    </w:p>
    <w:p>
      <w:pPr>
        <w:numPr>
          <w:ilvl w:val="0"/>
          <w:numId w:val="0"/>
        </w:numPr>
        <w:ind w:firstLine="64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试验结果表明，条播方式人工开沟不易控制播种深度，覆土较厚，出苗较撒播迟，且播种费工费时，但因行间距分明，易于除草；撒播省时省工，覆土适宜，出苗均匀，种苗大小较为一致，但不利于除草，而且除草时易带苗；采挖时对比种苗大小，条播较撒播，细苗弱苗较多，综合评价，当过种苗繁育播种以撒播方式为宜，覆土厚度0.2-0.3cm，以刚好覆盖种子为度。</w:t>
      </w:r>
    </w:p>
    <w:p>
      <w:pPr>
        <w:pStyle w:val="2"/>
        <w:jc w:val="center"/>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 xml:space="preserve">表 </w:t>
      </w:r>
      <w:r>
        <w:rPr>
          <w:rFonts w:hint="eastAsia" w:ascii="仿宋" w:hAnsi="仿宋" w:eastAsia="仿宋" w:cs="仿宋"/>
          <w:kern w:val="2"/>
          <w:sz w:val="32"/>
          <w:szCs w:val="32"/>
          <w:lang w:val="en-US" w:eastAsia="zh-CN" w:bidi="ar-SA"/>
        </w:rPr>
        <w:fldChar w:fldCharType="begin"/>
      </w:r>
      <w:r>
        <w:rPr>
          <w:rFonts w:hint="eastAsia" w:ascii="仿宋" w:hAnsi="仿宋" w:eastAsia="仿宋" w:cs="仿宋"/>
          <w:kern w:val="2"/>
          <w:sz w:val="32"/>
          <w:szCs w:val="32"/>
          <w:lang w:val="en-US" w:eastAsia="zh-CN" w:bidi="ar-SA"/>
        </w:rPr>
        <w:instrText xml:space="preserve"> SEQ 表 \* ARABIC </w:instrText>
      </w:r>
      <w:r>
        <w:rPr>
          <w:rFonts w:hint="eastAsia" w:ascii="仿宋" w:hAnsi="仿宋" w:eastAsia="仿宋" w:cs="仿宋"/>
          <w:kern w:val="2"/>
          <w:sz w:val="32"/>
          <w:szCs w:val="32"/>
          <w:lang w:val="en-US" w:eastAsia="zh-CN" w:bidi="ar-SA"/>
        </w:rPr>
        <w:fldChar w:fldCharType="separate"/>
      </w:r>
      <w:r>
        <w:rPr>
          <w:rFonts w:hint="eastAsia" w:ascii="仿宋" w:hAnsi="仿宋" w:eastAsia="仿宋" w:cs="仿宋"/>
          <w:kern w:val="2"/>
          <w:sz w:val="32"/>
          <w:szCs w:val="32"/>
          <w:lang w:val="en-US" w:eastAsia="zh-CN" w:bidi="ar-SA"/>
        </w:rPr>
        <w:t>5</w:t>
      </w:r>
      <w:r>
        <w:rPr>
          <w:rFonts w:hint="eastAsia" w:ascii="仿宋" w:hAnsi="仿宋" w:eastAsia="仿宋" w:cs="仿宋"/>
          <w:kern w:val="2"/>
          <w:sz w:val="32"/>
          <w:szCs w:val="32"/>
          <w:lang w:val="en-US" w:eastAsia="zh-CN" w:bidi="ar-SA"/>
        </w:rPr>
        <w:fldChar w:fldCharType="end"/>
      </w:r>
      <w:bookmarkStart w:id="7" w:name="_Toc5826"/>
      <w:r>
        <w:rPr>
          <w:rFonts w:hint="eastAsia" w:ascii="仿宋" w:hAnsi="仿宋" w:eastAsia="仿宋" w:cs="仿宋"/>
          <w:kern w:val="2"/>
          <w:sz w:val="32"/>
          <w:szCs w:val="32"/>
          <w:lang w:val="en-US" w:eastAsia="zh-CN" w:bidi="ar-SA"/>
        </w:rPr>
        <w:t xml:space="preserve"> 播种方式试验考种表</w:t>
      </w:r>
      <w:bookmarkEnd w:id="7"/>
    </w:p>
    <w:tbl>
      <w:tblPr>
        <w:tblStyle w:val="5"/>
        <w:tblW w:w="8919" w:type="dxa"/>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90"/>
        <w:gridCol w:w="1162"/>
        <w:gridCol w:w="1290"/>
        <w:gridCol w:w="1440"/>
        <w:gridCol w:w="1275"/>
        <w:gridCol w:w="1290"/>
        <w:gridCol w:w="1372"/>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4" w:hRule="atLeast"/>
          <w:jc w:val="center"/>
        </w:trPr>
        <w:tc>
          <w:tcPr>
            <w:tcW w:w="1090" w:type="dxa"/>
            <w:tcBorders>
              <w:bottom w:val="single" w:color="auto" w:sz="12" w:space="0"/>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处理</w:t>
            </w:r>
          </w:p>
        </w:tc>
        <w:tc>
          <w:tcPr>
            <w:tcW w:w="1162" w:type="dxa"/>
            <w:tcBorders>
              <w:bottom w:val="single" w:color="auto" w:sz="12" w:space="0"/>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出苗时间</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/天</w:t>
            </w:r>
          </w:p>
        </w:tc>
        <w:tc>
          <w:tcPr>
            <w:tcW w:w="1290" w:type="dxa"/>
            <w:tcBorders>
              <w:bottom w:val="single" w:color="auto" w:sz="12" w:space="0"/>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种苗长度</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/cm</w:t>
            </w:r>
          </w:p>
        </w:tc>
        <w:tc>
          <w:tcPr>
            <w:tcW w:w="1440" w:type="dxa"/>
            <w:tcBorders>
              <w:bottom w:val="single" w:color="auto" w:sz="12" w:space="0"/>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种苗直径</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/cm</w:t>
            </w:r>
          </w:p>
        </w:tc>
        <w:tc>
          <w:tcPr>
            <w:tcW w:w="1275" w:type="dxa"/>
            <w:tcBorders>
              <w:bottom w:val="single" w:color="auto" w:sz="12" w:space="0"/>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须根数</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/个</w:t>
            </w:r>
          </w:p>
        </w:tc>
        <w:tc>
          <w:tcPr>
            <w:tcW w:w="1290" w:type="dxa"/>
            <w:tcBorders>
              <w:bottom w:val="single" w:color="auto" w:sz="12" w:space="0"/>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单株鲜重</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/g</w:t>
            </w:r>
          </w:p>
        </w:tc>
        <w:tc>
          <w:tcPr>
            <w:tcW w:w="1372" w:type="dxa"/>
            <w:tcBorders>
              <w:bottom w:val="single" w:color="auto" w:sz="12" w:space="0"/>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苗径≦0.2cm占比/%</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4" w:hRule="atLeast"/>
          <w:jc w:val="center"/>
        </w:trPr>
        <w:tc>
          <w:tcPr>
            <w:tcW w:w="1090" w:type="dxa"/>
            <w:tcBorders>
              <w:top w:val="single" w:color="auto" w:sz="12" w:space="0"/>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撒播</w:t>
            </w:r>
          </w:p>
        </w:tc>
        <w:tc>
          <w:tcPr>
            <w:tcW w:w="1162" w:type="dxa"/>
            <w:tcBorders>
              <w:top w:val="single" w:color="auto" w:sz="12" w:space="0"/>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15</w:t>
            </w:r>
          </w:p>
        </w:tc>
        <w:tc>
          <w:tcPr>
            <w:tcW w:w="1290" w:type="dxa"/>
            <w:tcBorders>
              <w:top w:val="single" w:color="auto" w:sz="12" w:space="0"/>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18.6</w:t>
            </w:r>
          </w:p>
        </w:tc>
        <w:tc>
          <w:tcPr>
            <w:tcW w:w="1440" w:type="dxa"/>
            <w:tcBorders>
              <w:top w:val="single" w:color="auto" w:sz="12" w:space="0"/>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0.56</w:t>
            </w:r>
          </w:p>
        </w:tc>
        <w:tc>
          <w:tcPr>
            <w:tcW w:w="1275" w:type="dxa"/>
            <w:tcBorders>
              <w:top w:val="single" w:color="auto" w:sz="12" w:space="0"/>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2.2</w:t>
            </w:r>
          </w:p>
        </w:tc>
        <w:tc>
          <w:tcPr>
            <w:tcW w:w="1290" w:type="dxa"/>
            <w:tcBorders>
              <w:top w:val="single" w:color="auto" w:sz="12" w:space="0"/>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0.604</w:t>
            </w:r>
          </w:p>
        </w:tc>
        <w:tc>
          <w:tcPr>
            <w:tcW w:w="1372" w:type="dxa"/>
            <w:tcBorders>
              <w:top w:val="single" w:color="auto" w:sz="12" w:space="0"/>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5.4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9" w:hRule="atLeast"/>
          <w:jc w:val="center"/>
        </w:trPr>
        <w:tc>
          <w:tcPr>
            <w:tcW w:w="1090" w:type="dxa"/>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条播</w:t>
            </w:r>
          </w:p>
        </w:tc>
        <w:tc>
          <w:tcPr>
            <w:tcW w:w="1162" w:type="dxa"/>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17</w:t>
            </w:r>
          </w:p>
        </w:tc>
        <w:tc>
          <w:tcPr>
            <w:tcW w:w="1290" w:type="dxa"/>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19.4</w:t>
            </w:r>
          </w:p>
        </w:tc>
        <w:tc>
          <w:tcPr>
            <w:tcW w:w="1440" w:type="dxa"/>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0.49</w:t>
            </w:r>
          </w:p>
        </w:tc>
        <w:tc>
          <w:tcPr>
            <w:tcW w:w="1275" w:type="dxa"/>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1.0</w:t>
            </w:r>
          </w:p>
        </w:tc>
        <w:tc>
          <w:tcPr>
            <w:tcW w:w="1290" w:type="dxa"/>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0.544</w:t>
            </w:r>
          </w:p>
        </w:tc>
        <w:tc>
          <w:tcPr>
            <w:tcW w:w="1372" w:type="dxa"/>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9.6</w:t>
            </w:r>
          </w:p>
        </w:tc>
      </w:tr>
    </w:tbl>
    <w:p>
      <w:pPr>
        <w:keepNext w:val="0"/>
        <w:keepLines w:val="0"/>
        <w:pageBreakBefore w:val="0"/>
        <w:widowControl w:val="0"/>
        <w:numPr>
          <w:ilvl w:val="0"/>
          <w:numId w:val="6"/>
        </w:numPr>
        <w:kinsoku/>
        <w:wordWrap/>
        <w:overflowPunct/>
        <w:topLinePunct w:val="0"/>
        <w:autoSpaceDE/>
        <w:autoSpaceDN/>
        <w:bidi w:val="0"/>
        <w:adjustRightInd/>
        <w:snapToGrid/>
        <w:ind w:left="640" w:leftChars="0" w:firstLine="0" w:firstLineChars="0"/>
        <w:textAlignment w:val="auto"/>
        <w:outlineLvl w:val="1"/>
        <w:rPr>
          <w:rFonts w:hint="default"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覆盖方式</w:t>
      </w:r>
    </w:p>
    <w:p>
      <w:pPr>
        <w:numPr>
          <w:ilvl w:val="0"/>
          <w:numId w:val="0"/>
        </w:numPr>
        <w:ind w:firstLine="64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试验设开展遮阳网覆盖、麦草覆盖、地膜小拱棚覆盖三种处理方式的对比试验。试验不设重复，每个处理种植面积为20㎡，试验统一于6月5日播种。</w:t>
      </w:r>
    </w:p>
    <w:p>
      <w:pPr>
        <w:numPr>
          <w:ilvl w:val="0"/>
          <w:numId w:val="0"/>
        </w:numPr>
        <w:ind w:firstLine="64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结果表明：在互助县余家村这种相对低海拔平地遮阳网覆盖出苗率高、出苗齐，长势好；麦草覆盖出苗率稍差，且苗势较弱，还需不断松动麦草，以防压苗；但麦草保温效果较好，在高海拔地适宜麦草覆盖，操作比遮阳网覆盖方便。小拱棚覆盖烧苗严重，六月份天气温度过高，不适宜撘拱棚，如需此方式，需每天白天摘棚、晚上覆棚，费工费时，且棚内水分蒸发极快，如遇降水稀少天气，需每天浇水，土壤板结严重，不宜出苗。综上所述，互助县内小面积当归育苗采用遮阳网覆盖的方式较好，大面积育苗宜采用麦草覆盖比较适宜。</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表 </w:t>
      </w:r>
      <w:r>
        <w:rPr>
          <w:rFonts w:hint="eastAsia" w:ascii="仿宋" w:hAnsi="仿宋" w:eastAsia="仿宋" w:cs="仿宋"/>
          <w:sz w:val="32"/>
          <w:szCs w:val="32"/>
          <w:lang w:val="en-US" w:eastAsia="zh-CN"/>
        </w:rPr>
        <w:fldChar w:fldCharType="begin"/>
      </w:r>
      <w:r>
        <w:rPr>
          <w:rFonts w:hint="eastAsia" w:ascii="仿宋" w:hAnsi="仿宋" w:eastAsia="仿宋" w:cs="仿宋"/>
          <w:sz w:val="32"/>
          <w:szCs w:val="32"/>
          <w:lang w:val="en-US" w:eastAsia="zh-CN"/>
        </w:rPr>
        <w:instrText xml:space="preserve"> SEQ 表 \* ARABIC </w:instrText>
      </w:r>
      <w:r>
        <w:rPr>
          <w:rFonts w:hint="eastAsia" w:ascii="仿宋" w:hAnsi="仿宋" w:eastAsia="仿宋" w:cs="仿宋"/>
          <w:sz w:val="32"/>
          <w:szCs w:val="32"/>
          <w:lang w:val="en-US" w:eastAsia="zh-CN"/>
        </w:rPr>
        <w:fldChar w:fldCharType="separate"/>
      </w:r>
      <w:r>
        <w:rPr>
          <w:rFonts w:hint="eastAsia" w:ascii="仿宋" w:hAnsi="仿宋" w:eastAsia="仿宋" w:cs="仿宋"/>
          <w:sz w:val="32"/>
          <w:szCs w:val="32"/>
          <w:lang w:val="en-US" w:eastAsia="zh-CN"/>
        </w:rPr>
        <w:t>6</w:t>
      </w:r>
      <w:r>
        <w:rPr>
          <w:rFonts w:hint="eastAsia" w:ascii="仿宋" w:hAnsi="仿宋" w:eastAsia="仿宋" w:cs="仿宋"/>
          <w:sz w:val="32"/>
          <w:szCs w:val="32"/>
          <w:lang w:val="en-US" w:eastAsia="zh-CN"/>
        </w:rPr>
        <w:fldChar w:fldCharType="end"/>
      </w:r>
      <w:bookmarkStart w:id="8" w:name="_Toc7528"/>
      <w:r>
        <w:rPr>
          <w:rFonts w:hint="eastAsia" w:ascii="仿宋" w:hAnsi="仿宋" w:eastAsia="仿宋" w:cs="仿宋"/>
          <w:sz w:val="32"/>
          <w:szCs w:val="32"/>
          <w:lang w:val="en-US" w:eastAsia="zh-CN"/>
        </w:rPr>
        <w:t xml:space="preserve">  覆盖方式试验考种表</w:t>
      </w:r>
      <w:bookmarkEnd w:id="8"/>
    </w:p>
    <w:tbl>
      <w:tblPr>
        <w:tblStyle w:val="5"/>
        <w:tblW w:w="8598" w:type="dxa"/>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39"/>
        <w:gridCol w:w="1321"/>
        <w:gridCol w:w="1467"/>
        <w:gridCol w:w="1467"/>
        <w:gridCol w:w="1637"/>
        <w:gridCol w:w="1467"/>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jc w:val="center"/>
        </w:trPr>
        <w:tc>
          <w:tcPr>
            <w:tcW w:w="1239" w:type="dxa"/>
            <w:tcBorders>
              <w:bottom w:val="single" w:color="auto" w:sz="12" w:space="0"/>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处理</w:t>
            </w:r>
          </w:p>
        </w:tc>
        <w:tc>
          <w:tcPr>
            <w:tcW w:w="1321" w:type="dxa"/>
            <w:tcBorders>
              <w:bottom w:val="single" w:color="auto" w:sz="12" w:space="0"/>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出苗时间</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/天</w:t>
            </w:r>
          </w:p>
        </w:tc>
        <w:tc>
          <w:tcPr>
            <w:tcW w:w="1467" w:type="dxa"/>
            <w:tcBorders>
              <w:bottom w:val="single" w:color="auto" w:sz="12" w:space="0"/>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单位面积出苗数</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株/㎡</w:t>
            </w:r>
          </w:p>
        </w:tc>
        <w:tc>
          <w:tcPr>
            <w:tcW w:w="1467" w:type="dxa"/>
            <w:tcBorders>
              <w:bottom w:val="single" w:color="auto" w:sz="12" w:space="0"/>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种苗长度</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/cm</w:t>
            </w:r>
          </w:p>
        </w:tc>
        <w:tc>
          <w:tcPr>
            <w:tcW w:w="1637" w:type="dxa"/>
            <w:tcBorders>
              <w:bottom w:val="single" w:color="auto" w:sz="12" w:space="0"/>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种苗直径</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/cm</w:t>
            </w:r>
          </w:p>
        </w:tc>
        <w:tc>
          <w:tcPr>
            <w:tcW w:w="1467" w:type="dxa"/>
            <w:tcBorders>
              <w:bottom w:val="single" w:color="auto" w:sz="12" w:space="0"/>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单株鲜重</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/g</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3" w:hRule="atLeast"/>
          <w:jc w:val="center"/>
        </w:trPr>
        <w:tc>
          <w:tcPr>
            <w:tcW w:w="1239" w:type="dxa"/>
            <w:tcBorders>
              <w:top w:val="single" w:color="auto" w:sz="12" w:space="0"/>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遮阳网覆盖</w:t>
            </w:r>
          </w:p>
        </w:tc>
        <w:tc>
          <w:tcPr>
            <w:tcW w:w="1321" w:type="dxa"/>
            <w:tcBorders>
              <w:top w:val="single" w:color="auto" w:sz="12" w:space="0"/>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16</w:t>
            </w:r>
          </w:p>
        </w:tc>
        <w:tc>
          <w:tcPr>
            <w:tcW w:w="1467" w:type="dxa"/>
            <w:tcBorders>
              <w:top w:val="single" w:color="auto" w:sz="12" w:space="0"/>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3100</w:t>
            </w:r>
          </w:p>
        </w:tc>
        <w:tc>
          <w:tcPr>
            <w:tcW w:w="1467" w:type="dxa"/>
            <w:tcBorders>
              <w:top w:val="single" w:color="auto" w:sz="12" w:space="0"/>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17.6</w:t>
            </w:r>
          </w:p>
        </w:tc>
        <w:tc>
          <w:tcPr>
            <w:tcW w:w="1637" w:type="dxa"/>
            <w:tcBorders>
              <w:top w:val="single" w:color="auto" w:sz="12" w:space="0"/>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0.49</w:t>
            </w:r>
          </w:p>
        </w:tc>
        <w:tc>
          <w:tcPr>
            <w:tcW w:w="1467" w:type="dxa"/>
            <w:tcBorders>
              <w:top w:val="single" w:color="auto" w:sz="12" w:space="0"/>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0.504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3" w:hRule="atLeast"/>
          <w:jc w:val="center"/>
        </w:trPr>
        <w:tc>
          <w:tcPr>
            <w:tcW w:w="1239" w:type="dxa"/>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麦草覆盖</w:t>
            </w:r>
          </w:p>
        </w:tc>
        <w:tc>
          <w:tcPr>
            <w:tcW w:w="1321" w:type="dxa"/>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15</w:t>
            </w:r>
          </w:p>
        </w:tc>
        <w:tc>
          <w:tcPr>
            <w:tcW w:w="1467" w:type="dxa"/>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2400</w:t>
            </w:r>
          </w:p>
        </w:tc>
        <w:tc>
          <w:tcPr>
            <w:tcW w:w="1467" w:type="dxa"/>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19.4</w:t>
            </w:r>
          </w:p>
        </w:tc>
        <w:tc>
          <w:tcPr>
            <w:tcW w:w="1637" w:type="dxa"/>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0.52</w:t>
            </w:r>
          </w:p>
        </w:tc>
        <w:tc>
          <w:tcPr>
            <w:tcW w:w="1467" w:type="dxa"/>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0.544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3" w:hRule="atLeast"/>
          <w:jc w:val="center"/>
        </w:trPr>
        <w:tc>
          <w:tcPr>
            <w:tcW w:w="1239" w:type="dxa"/>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地膜小拱棚覆盖</w:t>
            </w:r>
          </w:p>
        </w:tc>
        <w:tc>
          <w:tcPr>
            <w:tcW w:w="1321" w:type="dxa"/>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w:t>
            </w:r>
          </w:p>
        </w:tc>
        <w:tc>
          <w:tcPr>
            <w:tcW w:w="1467" w:type="dxa"/>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4</w:t>
            </w:r>
          </w:p>
        </w:tc>
        <w:tc>
          <w:tcPr>
            <w:tcW w:w="1467" w:type="dxa"/>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w:t>
            </w:r>
          </w:p>
        </w:tc>
        <w:tc>
          <w:tcPr>
            <w:tcW w:w="1637" w:type="dxa"/>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w:t>
            </w:r>
          </w:p>
        </w:tc>
        <w:tc>
          <w:tcPr>
            <w:tcW w:w="1467" w:type="dxa"/>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highlight w:val="none"/>
                <w:vertAlign w:val="baseline"/>
                <w:lang w:val="en-US" w:eastAsia="zh-CN"/>
              </w:rPr>
            </w:pPr>
            <w:r>
              <w:rPr>
                <w:rFonts w:hint="eastAsia" w:ascii="仿宋" w:hAnsi="仿宋" w:eastAsia="仿宋" w:cs="仿宋"/>
                <w:b w:val="0"/>
                <w:bCs w:val="0"/>
                <w:sz w:val="28"/>
                <w:szCs w:val="28"/>
                <w:highlight w:val="none"/>
                <w:vertAlign w:val="baseline"/>
                <w:lang w:val="en-US" w:eastAsia="zh-CN"/>
              </w:rPr>
              <w:t>/</w:t>
            </w:r>
          </w:p>
        </w:tc>
      </w:tr>
    </w:tbl>
    <w:p>
      <w:pPr>
        <w:numPr>
          <w:ilvl w:val="0"/>
          <w:numId w:val="0"/>
        </w:numPr>
        <w:ind w:leftChars="166"/>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5.病虫鼠害防治</w:t>
      </w:r>
    </w:p>
    <w:p>
      <w:pPr>
        <w:pStyle w:val="10"/>
        <w:tabs>
          <w:tab w:val="center" w:pos="4201"/>
          <w:tab w:val="right" w:leader="dot" w:pos="9298"/>
        </w:tabs>
        <w:rPr>
          <w:rFonts w:hint="eastAsia" w:ascii="仿宋" w:hAnsi="仿宋" w:eastAsia="仿宋" w:cs="Times New Roman"/>
          <w:kern w:val="2"/>
          <w:sz w:val="32"/>
          <w:szCs w:val="32"/>
          <w:highlight w:val="none"/>
          <w:lang w:val="en-US" w:eastAsia="zh-CN" w:bidi="ar-SA"/>
        </w:rPr>
      </w:pPr>
      <w:r>
        <w:rPr>
          <w:rFonts w:hint="eastAsia" w:ascii="仿宋" w:hAnsi="仿宋" w:eastAsia="仿宋" w:cs="Times New Roman"/>
          <w:kern w:val="2"/>
          <w:sz w:val="32"/>
          <w:szCs w:val="32"/>
          <w:highlight w:val="none"/>
          <w:lang w:val="en-US" w:eastAsia="zh-CN" w:bidi="ar-SA"/>
        </w:rPr>
        <w:t>防治方法主要以农业防治为主，化学防治为辅的方式，改善农田管理制度，精耕细作，除草灭虫；农药防治时应按NY/T 1276-2007规定的要求，选用高效无毒无残留的生物药剂防治。</w:t>
      </w:r>
    </w:p>
    <w:p>
      <w:pPr>
        <w:pStyle w:val="10"/>
        <w:numPr>
          <w:ilvl w:val="0"/>
          <w:numId w:val="0"/>
        </w:numPr>
        <w:tabs>
          <w:tab w:val="center" w:pos="4201"/>
          <w:tab w:val="right" w:leader="dot" w:pos="9298"/>
        </w:tabs>
        <w:ind w:firstLine="640" w:firstLineChars="200"/>
        <w:rPr>
          <w:rFonts w:hint="default" w:ascii="仿宋" w:hAnsi="仿宋" w:eastAsia="仿宋" w:cs="Times New Roman"/>
          <w:kern w:val="2"/>
          <w:sz w:val="32"/>
          <w:szCs w:val="32"/>
          <w:highlight w:val="none"/>
          <w:lang w:val="en-US" w:eastAsia="zh-CN" w:bidi="ar-SA"/>
        </w:rPr>
      </w:pPr>
      <w:r>
        <w:rPr>
          <w:rFonts w:hint="eastAsia" w:ascii="仿宋" w:hAnsi="仿宋" w:eastAsia="仿宋" w:cs="Times New Roman"/>
          <w:kern w:val="2"/>
          <w:sz w:val="32"/>
          <w:szCs w:val="32"/>
          <w:highlight w:val="none"/>
          <w:lang w:val="en-US" w:eastAsia="zh-CN" w:bidi="ar-SA"/>
        </w:rPr>
        <w:t>6.起苗</w:t>
      </w:r>
    </w:p>
    <w:p>
      <w:pPr>
        <w:keepNext w:val="0"/>
        <w:keepLines w:val="0"/>
        <w:pageBreakBefore w:val="0"/>
        <w:widowControl w:val="0"/>
        <w:numPr>
          <w:ilvl w:val="0"/>
          <w:numId w:val="0"/>
        </w:numPr>
        <w:kinsoku/>
        <w:wordWrap/>
        <w:overflowPunct/>
        <w:topLinePunct w:val="0"/>
        <w:autoSpaceDE/>
        <w:autoSpaceDN/>
        <w:bidi w:val="0"/>
        <w:adjustRightInd/>
        <w:snapToGrid/>
        <w:textAlignment w:val="auto"/>
        <w:outlineLvl w:val="1"/>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 xml:space="preserve"> （1）起苗时间</w:t>
      </w:r>
    </w:p>
    <w:p>
      <w:pPr>
        <w:keepNext w:val="0"/>
        <w:keepLines w:val="0"/>
        <w:pageBreakBefore w:val="0"/>
        <w:widowControl w:val="0"/>
        <w:numPr>
          <w:ilvl w:val="0"/>
          <w:numId w:val="0"/>
        </w:numPr>
        <w:kinsoku/>
        <w:wordWrap/>
        <w:overflowPunct/>
        <w:topLinePunct w:val="0"/>
        <w:autoSpaceDE/>
        <w:autoSpaceDN/>
        <w:bidi w:val="0"/>
        <w:adjustRightInd/>
        <w:snapToGrid/>
        <w:ind w:firstLine="640"/>
        <w:textAlignment w:val="auto"/>
        <w:outlineLvl w:val="1"/>
        <w:rPr>
          <w:rFonts w:hint="default"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根据播期试验、苗龄、种苗大小等试验研究及储藏时间等因素，确定起苗时间为9月下旬为宜。</w:t>
      </w:r>
    </w:p>
    <w:p>
      <w:pPr>
        <w:keepNext w:val="0"/>
        <w:keepLines w:val="0"/>
        <w:pageBreakBefore w:val="0"/>
        <w:widowControl w:val="0"/>
        <w:numPr>
          <w:ilvl w:val="0"/>
          <w:numId w:val="0"/>
        </w:numPr>
        <w:kinsoku/>
        <w:wordWrap/>
        <w:overflowPunct/>
        <w:topLinePunct w:val="0"/>
        <w:autoSpaceDE/>
        <w:autoSpaceDN/>
        <w:bidi w:val="0"/>
        <w:adjustRightInd/>
        <w:snapToGrid/>
        <w:textAlignment w:val="auto"/>
        <w:outlineLvl w:val="1"/>
        <w:rPr>
          <w:rFonts w:hint="default"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（三）分级标准研究</w:t>
      </w:r>
    </w:p>
    <w:p>
      <w:pPr>
        <w:pStyle w:val="10"/>
        <w:keepNext w:val="0"/>
        <w:keepLines w:val="0"/>
        <w:pageBreakBefore w:val="0"/>
        <w:widowControl/>
        <w:numPr>
          <w:ilvl w:val="0"/>
          <w:numId w:val="0"/>
        </w:numPr>
        <w:kinsoku/>
        <w:wordWrap/>
        <w:overflowPunct/>
        <w:topLinePunct w:val="0"/>
        <w:autoSpaceDE/>
        <w:autoSpaceDN/>
        <w:bidi w:val="0"/>
        <w:adjustRightInd/>
        <w:snapToGrid/>
        <w:ind w:leftChars="200" w:firstLine="320" w:firstLineChars="100"/>
        <w:textAlignment w:val="auto"/>
        <w:outlineLvl w:val="2"/>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 种苗分级参数</w:t>
      </w:r>
    </w:p>
    <w:p>
      <w:pPr>
        <w:pStyle w:val="10"/>
        <w:numPr>
          <w:ilvl w:val="0"/>
          <w:numId w:val="0"/>
        </w:numPr>
        <w:ind w:leftChars="200" w:firstLine="320" w:firstLineChars="10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1.1苗径</w:t>
      </w:r>
    </w:p>
    <w:p>
      <w:pPr>
        <w:pStyle w:val="10"/>
        <w:numPr>
          <w:ilvl w:val="0"/>
          <w:numId w:val="0"/>
        </w:numPr>
        <w:ind w:leftChars="200" w:firstLine="640" w:firstLineChars="20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当归抽薹率是影响当归产质量的最关键因素，为研究种苗大小对抽薹率的影响，分别在2018、2019两年开展种苗大小试验。</w:t>
      </w:r>
    </w:p>
    <w:p>
      <w:pPr>
        <w:pStyle w:val="10"/>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default"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 xml:space="preserve">    （1）2018年不同种苗大小试验</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试验地点：互助县威远镇余家村试验基地</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试验设计：购买的同一批次的种苗挑拣分成大、中、小苗三个等级，每个等级三次重复，试验采取随机区组设计。</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rPr>
          <w:rFonts w:hint="eastAsia" w:ascii="仿宋" w:hAnsi="仿宋" w:eastAsia="仿宋" w:cs="仿宋"/>
          <w:b/>
          <w:bCs/>
          <w:sz w:val="28"/>
          <w:szCs w:val="28"/>
          <w:highlight w:val="none"/>
          <w:lang w:val="en-US" w:eastAsia="zh-CN"/>
        </w:rPr>
      </w:pPr>
      <w:r>
        <w:rPr>
          <w:rFonts w:hint="eastAsia" w:ascii="仿宋" w:hAnsi="仿宋" w:eastAsia="仿宋" w:cs="仿宋"/>
          <w:b w:val="0"/>
          <w:bCs w:val="0"/>
          <w:sz w:val="28"/>
          <w:szCs w:val="28"/>
          <w:highlight w:val="none"/>
          <w:lang w:val="en-US" w:eastAsia="zh-CN"/>
        </w:rPr>
        <w:t>表</w:t>
      </w:r>
      <w:bookmarkStart w:id="9" w:name="_Toc31500"/>
      <w:bookmarkStart w:id="10" w:name="_Toc862"/>
      <w:bookmarkStart w:id="11" w:name="_Toc8787"/>
      <w:r>
        <w:rPr>
          <w:rFonts w:hint="eastAsia" w:ascii="仿宋" w:hAnsi="仿宋" w:eastAsia="仿宋" w:cs="仿宋"/>
          <w:b w:val="0"/>
          <w:bCs w:val="0"/>
          <w:sz w:val="28"/>
          <w:szCs w:val="28"/>
          <w:highlight w:val="none"/>
          <w:lang w:val="en-US" w:eastAsia="zh-CN"/>
        </w:rPr>
        <w:t>2 种苗大小验证试验抽薹率情况对比表</w:t>
      </w:r>
      <w:bookmarkEnd w:id="9"/>
      <w:bookmarkEnd w:id="10"/>
      <w:bookmarkEnd w:id="11"/>
    </w:p>
    <w:tbl>
      <w:tblPr>
        <w:tblStyle w:val="4"/>
        <w:tblW w:w="4545" w:type="pct"/>
        <w:jc w:val="center"/>
        <w:tblCellSpacing w:w="0" w:type="dxa"/>
        <w:tblBorders>
          <w:top w:val="single" w:color="080000" w:sz="12" w:space="0"/>
          <w:left w:val="none" w:color="auto" w:sz="0" w:space="0"/>
          <w:bottom w:val="single" w:color="080000" w:sz="12"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2265"/>
        <w:gridCol w:w="1735"/>
        <w:gridCol w:w="2020"/>
        <w:gridCol w:w="1677"/>
      </w:tblGrid>
      <w:tr>
        <w:tblPrEx>
          <w:tblBorders>
            <w:top w:val="single" w:color="080000" w:sz="12" w:space="0"/>
            <w:left w:val="none" w:color="auto" w:sz="0" w:space="0"/>
            <w:bottom w:val="single" w:color="080000"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604" w:hRule="atLeast"/>
          <w:tblCellSpacing w:w="0" w:type="dxa"/>
          <w:jc w:val="center"/>
        </w:trPr>
        <w:tc>
          <w:tcPr>
            <w:tcW w:w="1471" w:type="pct"/>
            <w:tcBorders>
              <w:bottom w:val="single" w:color="080000" w:sz="8" w:space="0"/>
            </w:tcBorders>
            <w:noWrap w:val="0"/>
            <w:tcMar>
              <w:left w:w="81" w:type="dxa"/>
              <w:right w:w="81"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试验处理</w:t>
            </w:r>
          </w:p>
        </w:tc>
        <w:tc>
          <w:tcPr>
            <w:tcW w:w="1127" w:type="pct"/>
            <w:tcBorders>
              <w:bottom w:val="single" w:color="080000" w:sz="8" w:space="0"/>
            </w:tcBorders>
            <w:noWrap w:val="0"/>
            <w:tcMar>
              <w:left w:w="81" w:type="dxa"/>
              <w:right w:w="81"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rPr>
                <w:rFonts w:hint="default" w:ascii="仿宋" w:hAnsi="仿宋" w:eastAsia="仿宋" w:cs="仿宋"/>
                <w:sz w:val="24"/>
                <w:szCs w:val="24"/>
                <w:highlight w:val="none"/>
                <w:lang w:val="en-US" w:eastAsia="zh-CN"/>
              </w:rPr>
            </w:pPr>
            <w:r>
              <w:rPr>
                <w:rFonts w:hint="default" w:ascii="仿宋" w:hAnsi="仿宋" w:eastAsia="仿宋" w:cs="仿宋"/>
                <w:sz w:val="24"/>
                <w:szCs w:val="24"/>
                <w:highlight w:val="none"/>
                <w:lang w:val="en-US" w:eastAsia="zh-CN"/>
              </w:rPr>
              <w:t>移栽株数</w:t>
            </w:r>
            <w:r>
              <w:rPr>
                <w:rFonts w:hint="eastAsia" w:ascii="仿宋" w:hAnsi="仿宋" w:eastAsia="仿宋" w:cs="仿宋"/>
                <w:sz w:val="24"/>
                <w:szCs w:val="24"/>
                <w:highlight w:val="none"/>
                <w:lang w:val="en-US" w:eastAsia="zh-CN"/>
              </w:rPr>
              <w:t>（株）</w:t>
            </w:r>
          </w:p>
        </w:tc>
        <w:tc>
          <w:tcPr>
            <w:tcW w:w="1312" w:type="pct"/>
            <w:tcBorders>
              <w:bottom w:val="single" w:color="080000" w:sz="8" w:space="0"/>
            </w:tcBorders>
            <w:noWrap w:val="0"/>
            <w:tcMar>
              <w:left w:w="81" w:type="dxa"/>
              <w:right w:w="81"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rPr>
                <w:rFonts w:hint="default" w:ascii="仿宋" w:hAnsi="仿宋" w:eastAsia="仿宋" w:cs="仿宋"/>
                <w:sz w:val="24"/>
                <w:szCs w:val="24"/>
                <w:highlight w:val="none"/>
                <w:lang w:val="en-US" w:eastAsia="zh-CN"/>
              </w:rPr>
            </w:pPr>
            <w:r>
              <w:rPr>
                <w:rFonts w:hint="default" w:ascii="仿宋" w:hAnsi="仿宋" w:eastAsia="仿宋" w:cs="仿宋"/>
                <w:sz w:val="24"/>
                <w:szCs w:val="24"/>
                <w:highlight w:val="none"/>
                <w:lang w:val="en-US" w:eastAsia="zh-CN"/>
              </w:rPr>
              <w:t>成活</w:t>
            </w:r>
            <w:r>
              <w:rPr>
                <w:rFonts w:hint="eastAsia" w:ascii="仿宋" w:hAnsi="仿宋" w:eastAsia="仿宋" w:cs="仿宋"/>
                <w:sz w:val="24"/>
                <w:szCs w:val="24"/>
                <w:highlight w:val="none"/>
                <w:lang w:val="en-US" w:eastAsia="zh-CN"/>
              </w:rPr>
              <w:t>率（%）</w:t>
            </w:r>
          </w:p>
        </w:tc>
        <w:tc>
          <w:tcPr>
            <w:tcW w:w="1089" w:type="pct"/>
            <w:tcBorders>
              <w:bottom w:val="single" w:color="080000" w:sz="8" w:space="0"/>
            </w:tcBorders>
            <w:noWrap w:val="0"/>
            <w:tcMar>
              <w:left w:w="81" w:type="dxa"/>
              <w:right w:w="81"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rPr>
                <w:rFonts w:hint="default" w:ascii="仿宋" w:hAnsi="仿宋" w:eastAsia="仿宋" w:cs="仿宋"/>
                <w:sz w:val="24"/>
                <w:szCs w:val="24"/>
                <w:highlight w:val="none"/>
                <w:lang w:val="en-US" w:eastAsia="zh-CN"/>
              </w:rPr>
            </w:pPr>
            <w:r>
              <w:rPr>
                <w:rFonts w:hint="default" w:ascii="仿宋" w:hAnsi="仿宋" w:eastAsia="仿宋" w:cs="仿宋"/>
                <w:sz w:val="24"/>
                <w:szCs w:val="24"/>
                <w:highlight w:val="none"/>
                <w:lang w:val="en-US" w:eastAsia="zh-CN"/>
              </w:rPr>
              <w:t>抽薹率</w:t>
            </w:r>
            <w:r>
              <w:rPr>
                <w:rFonts w:hint="eastAsia" w:ascii="仿宋" w:hAnsi="仿宋" w:eastAsia="仿宋" w:cs="仿宋"/>
                <w:sz w:val="24"/>
                <w:szCs w:val="24"/>
                <w:highlight w:val="none"/>
                <w:lang w:val="en-US" w:eastAsia="zh-CN"/>
              </w:rPr>
              <w:t>（%）</w:t>
            </w:r>
          </w:p>
        </w:tc>
      </w:tr>
      <w:tr>
        <w:tblPrEx>
          <w:tblBorders>
            <w:top w:val="single" w:color="080000" w:sz="12" w:space="0"/>
            <w:left w:val="none" w:color="auto" w:sz="0" w:space="0"/>
            <w:bottom w:val="single" w:color="080000"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518" w:hRule="atLeast"/>
          <w:tblCellSpacing w:w="0" w:type="dxa"/>
          <w:jc w:val="center"/>
        </w:trPr>
        <w:tc>
          <w:tcPr>
            <w:tcW w:w="1471" w:type="pct"/>
            <w:tcBorders>
              <w:right w:val="nil"/>
            </w:tcBorders>
            <w:noWrap w:val="0"/>
            <w:tcMar>
              <w:left w:w="81" w:type="dxa"/>
              <w:right w:w="81"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rPr>
                <w:rFonts w:hint="eastAsia" w:ascii="仿宋" w:hAnsi="仿宋" w:eastAsia="仿宋" w:cs="仿宋"/>
                <w:sz w:val="24"/>
                <w:szCs w:val="24"/>
                <w:highlight w:val="none"/>
                <w:lang w:val="en-US" w:eastAsia="zh-CN"/>
              </w:rPr>
            </w:pPr>
            <w:r>
              <w:rPr>
                <w:rFonts w:hint="default" w:ascii="仿宋" w:hAnsi="仿宋" w:eastAsia="仿宋" w:cs="仿宋"/>
                <w:sz w:val="24"/>
                <w:szCs w:val="24"/>
                <w:highlight w:val="none"/>
                <w:lang w:val="en-US" w:eastAsia="zh-CN"/>
              </w:rPr>
              <w:t>大苗</w:t>
            </w:r>
          </w:p>
        </w:tc>
        <w:tc>
          <w:tcPr>
            <w:tcW w:w="1127" w:type="pct"/>
            <w:tcBorders>
              <w:left w:val="nil"/>
              <w:right w:val="nil"/>
            </w:tcBorders>
            <w:noWrap w:val="0"/>
            <w:tcMar>
              <w:left w:w="81" w:type="dxa"/>
              <w:right w:w="81"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rPr>
                <w:rFonts w:hint="eastAsia" w:ascii="仿宋" w:hAnsi="仿宋" w:eastAsia="仿宋" w:cs="仿宋"/>
                <w:sz w:val="24"/>
                <w:szCs w:val="24"/>
                <w:highlight w:val="none"/>
                <w:lang w:val="en-US" w:eastAsia="zh-CN"/>
              </w:rPr>
            </w:pPr>
            <w:r>
              <w:rPr>
                <w:rFonts w:hint="default" w:ascii="仿宋" w:hAnsi="仿宋" w:eastAsia="仿宋" w:cs="仿宋"/>
                <w:sz w:val="24"/>
                <w:szCs w:val="24"/>
                <w:highlight w:val="none"/>
                <w:lang w:val="en-US" w:eastAsia="zh-CN"/>
              </w:rPr>
              <w:t>210</w:t>
            </w:r>
          </w:p>
        </w:tc>
        <w:tc>
          <w:tcPr>
            <w:tcW w:w="1312" w:type="pct"/>
            <w:tcBorders>
              <w:left w:val="nil"/>
              <w:right w:val="nil"/>
            </w:tcBorders>
            <w:noWrap w:val="0"/>
            <w:tcMar>
              <w:left w:w="81" w:type="dxa"/>
              <w:right w:w="81"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92</w:t>
            </w:r>
          </w:p>
        </w:tc>
        <w:tc>
          <w:tcPr>
            <w:tcW w:w="1089" w:type="pct"/>
            <w:tcBorders>
              <w:left w:val="nil"/>
            </w:tcBorders>
            <w:noWrap w:val="0"/>
            <w:tcMar>
              <w:left w:w="81" w:type="dxa"/>
              <w:right w:w="81"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rPr>
                <w:rFonts w:hint="eastAsia" w:ascii="仿宋" w:hAnsi="仿宋" w:eastAsia="仿宋" w:cs="仿宋"/>
                <w:sz w:val="24"/>
                <w:szCs w:val="24"/>
                <w:highlight w:val="none"/>
                <w:lang w:val="en-US" w:eastAsia="zh-CN"/>
              </w:rPr>
            </w:pPr>
            <w:r>
              <w:rPr>
                <w:rFonts w:hint="default" w:ascii="仿宋" w:hAnsi="仿宋" w:eastAsia="仿宋" w:cs="仿宋"/>
                <w:sz w:val="24"/>
                <w:szCs w:val="24"/>
                <w:highlight w:val="none"/>
                <w:lang w:val="en-US" w:eastAsia="zh-CN"/>
              </w:rPr>
              <w:t>45.9</w:t>
            </w:r>
          </w:p>
        </w:tc>
      </w:tr>
      <w:tr>
        <w:tblPrEx>
          <w:tblBorders>
            <w:top w:val="single" w:color="080000" w:sz="12" w:space="0"/>
            <w:left w:val="none" w:color="auto" w:sz="0" w:space="0"/>
            <w:bottom w:val="single" w:color="080000"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jc w:val="center"/>
        </w:trPr>
        <w:tc>
          <w:tcPr>
            <w:tcW w:w="1471" w:type="pct"/>
            <w:tcBorders>
              <w:tl2br w:val="nil"/>
              <w:tr2bl w:val="nil"/>
            </w:tcBorders>
            <w:noWrap w:val="0"/>
            <w:tcMar>
              <w:left w:w="81" w:type="dxa"/>
              <w:right w:w="81"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 w:hAnsi="仿宋" w:eastAsia="仿宋" w:cs="仿宋"/>
                <w:sz w:val="24"/>
                <w:szCs w:val="24"/>
                <w:highlight w:val="none"/>
                <w:lang w:val="en-US" w:eastAsia="zh-CN"/>
              </w:rPr>
            </w:pPr>
            <w:r>
              <w:rPr>
                <w:rFonts w:hint="default" w:ascii="仿宋" w:hAnsi="仿宋" w:eastAsia="仿宋" w:cs="仿宋"/>
                <w:sz w:val="24"/>
                <w:szCs w:val="24"/>
                <w:highlight w:val="none"/>
                <w:lang w:val="en-US" w:eastAsia="zh-CN"/>
              </w:rPr>
              <w:t>中苗</w:t>
            </w:r>
          </w:p>
        </w:tc>
        <w:tc>
          <w:tcPr>
            <w:tcW w:w="1127" w:type="pct"/>
            <w:tcBorders>
              <w:tl2br w:val="nil"/>
              <w:tr2bl w:val="nil"/>
            </w:tcBorders>
            <w:noWrap w:val="0"/>
            <w:tcMar>
              <w:left w:w="81" w:type="dxa"/>
              <w:right w:w="81"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rPr>
                <w:rFonts w:hint="eastAsia" w:ascii="仿宋" w:hAnsi="仿宋" w:eastAsia="仿宋" w:cs="仿宋"/>
                <w:sz w:val="24"/>
                <w:szCs w:val="24"/>
                <w:highlight w:val="none"/>
                <w:lang w:val="en-US" w:eastAsia="zh-CN"/>
              </w:rPr>
            </w:pPr>
            <w:r>
              <w:rPr>
                <w:rFonts w:hint="default" w:ascii="仿宋" w:hAnsi="仿宋" w:eastAsia="仿宋" w:cs="仿宋"/>
                <w:sz w:val="24"/>
                <w:szCs w:val="24"/>
                <w:highlight w:val="none"/>
                <w:lang w:val="en-US" w:eastAsia="zh-CN"/>
              </w:rPr>
              <w:t>210</w:t>
            </w:r>
          </w:p>
        </w:tc>
        <w:tc>
          <w:tcPr>
            <w:tcW w:w="1312" w:type="pct"/>
            <w:tcBorders>
              <w:tl2br w:val="nil"/>
              <w:tr2bl w:val="nil"/>
            </w:tcBorders>
            <w:noWrap w:val="0"/>
            <w:tcMar>
              <w:left w:w="81" w:type="dxa"/>
              <w:right w:w="81"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90</w:t>
            </w:r>
          </w:p>
        </w:tc>
        <w:tc>
          <w:tcPr>
            <w:tcW w:w="1089" w:type="pct"/>
            <w:tcBorders>
              <w:tl2br w:val="nil"/>
              <w:tr2bl w:val="nil"/>
            </w:tcBorders>
            <w:noWrap w:val="0"/>
            <w:tcMar>
              <w:left w:w="81" w:type="dxa"/>
              <w:right w:w="81"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rPr>
                <w:rFonts w:hint="eastAsia" w:ascii="仿宋" w:hAnsi="仿宋" w:eastAsia="仿宋" w:cs="仿宋"/>
                <w:sz w:val="24"/>
                <w:szCs w:val="24"/>
                <w:highlight w:val="none"/>
                <w:lang w:val="en-US" w:eastAsia="zh-CN"/>
              </w:rPr>
            </w:pPr>
            <w:r>
              <w:rPr>
                <w:rFonts w:hint="default" w:ascii="仿宋" w:hAnsi="仿宋" w:eastAsia="仿宋" w:cs="仿宋"/>
                <w:sz w:val="24"/>
                <w:szCs w:val="24"/>
                <w:highlight w:val="none"/>
                <w:lang w:val="en-US" w:eastAsia="zh-CN"/>
              </w:rPr>
              <w:t>36.8</w:t>
            </w:r>
          </w:p>
        </w:tc>
      </w:tr>
      <w:tr>
        <w:tblPrEx>
          <w:tblBorders>
            <w:top w:val="single" w:color="080000" w:sz="12" w:space="0"/>
            <w:left w:val="none" w:color="auto" w:sz="0" w:space="0"/>
            <w:bottom w:val="single" w:color="080000"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509" w:hRule="atLeast"/>
          <w:tblCellSpacing w:w="0" w:type="dxa"/>
          <w:jc w:val="center"/>
        </w:trPr>
        <w:tc>
          <w:tcPr>
            <w:tcW w:w="1471" w:type="pct"/>
            <w:tcBorders>
              <w:tl2br w:val="nil"/>
              <w:tr2bl w:val="nil"/>
            </w:tcBorders>
            <w:noWrap w:val="0"/>
            <w:tcMar>
              <w:left w:w="81" w:type="dxa"/>
              <w:right w:w="81"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rPr>
                <w:rFonts w:hint="default" w:ascii="仿宋" w:hAnsi="仿宋" w:eastAsia="仿宋" w:cs="仿宋"/>
                <w:sz w:val="24"/>
                <w:szCs w:val="24"/>
                <w:highlight w:val="none"/>
                <w:lang w:val="en-US" w:eastAsia="zh-CN"/>
              </w:rPr>
            </w:pPr>
            <w:r>
              <w:rPr>
                <w:rFonts w:hint="default" w:ascii="仿宋" w:hAnsi="仿宋" w:eastAsia="仿宋" w:cs="仿宋"/>
                <w:sz w:val="24"/>
                <w:szCs w:val="24"/>
                <w:highlight w:val="none"/>
                <w:lang w:val="en-US" w:eastAsia="zh-CN"/>
              </w:rPr>
              <w:t>小苗</w:t>
            </w:r>
          </w:p>
        </w:tc>
        <w:tc>
          <w:tcPr>
            <w:tcW w:w="1127" w:type="pct"/>
            <w:tcBorders>
              <w:tl2br w:val="nil"/>
              <w:tr2bl w:val="nil"/>
            </w:tcBorders>
            <w:noWrap w:val="0"/>
            <w:tcMar>
              <w:left w:w="81" w:type="dxa"/>
              <w:right w:w="81"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rPr>
                <w:rFonts w:hint="eastAsia" w:ascii="仿宋" w:hAnsi="仿宋" w:eastAsia="仿宋" w:cs="仿宋"/>
                <w:sz w:val="24"/>
                <w:szCs w:val="24"/>
                <w:highlight w:val="none"/>
                <w:lang w:val="en-US" w:eastAsia="zh-CN"/>
              </w:rPr>
            </w:pPr>
            <w:r>
              <w:rPr>
                <w:rFonts w:hint="default" w:ascii="仿宋" w:hAnsi="仿宋" w:eastAsia="仿宋" w:cs="仿宋"/>
                <w:sz w:val="24"/>
                <w:szCs w:val="24"/>
                <w:highlight w:val="none"/>
                <w:lang w:val="en-US" w:eastAsia="zh-CN"/>
              </w:rPr>
              <w:t>210</w:t>
            </w:r>
          </w:p>
        </w:tc>
        <w:tc>
          <w:tcPr>
            <w:tcW w:w="1312" w:type="pct"/>
            <w:tcBorders>
              <w:tl2br w:val="nil"/>
              <w:tr2bl w:val="nil"/>
            </w:tcBorders>
            <w:noWrap w:val="0"/>
            <w:tcMar>
              <w:left w:w="81" w:type="dxa"/>
              <w:right w:w="81"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85</w:t>
            </w:r>
          </w:p>
        </w:tc>
        <w:tc>
          <w:tcPr>
            <w:tcW w:w="1089" w:type="pct"/>
            <w:tcBorders>
              <w:tl2br w:val="nil"/>
              <w:tr2bl w:val="nil"/>
            </w:tcBorders>
            <w:noWrap w:val="0"/>
            <w:tcMar>
              <w:left w:w="81" w:type="dxa"/>
              <w:right w:w="81"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rPr>
                <w:rFonts w:hint="eastAsia" w:ascii="仿宋" w:hAnsi="仿宋" w:eastAsia="仿宋" w:cs="仿宋"/>
                <w:sz w:val="24"/>
                <w:szCs w:val="24"/>
                <w:highlight w:val="none"/>
                <w:lang w:val="en-US" w:eastAsia="zh-CN"/>
              </w:rPr>
            </w:pPr>
            <w:r>
              <w:rPr>
                <w:rFonts w:hint="default" w:ascii="仿宋" w:hAnsi="仿宋" w:eastAsia="仿宋" w:cs="仿宋"/>
                <w:sz w:val="24"/>
                <w:szCs w:val="24"/>
                <w:highlight w:val="none"/>
                <w:lang w:val="en-US" w:eastAsia="zh-CN"/>
              </w:rPr>
              <w:t>13.6</w:t>
            </w:r>
          </w:p>
        </w:tc>
      </w:tr>
    </w:tbl>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试验结果表明，种苗越大、成活率越高，大苗、中苗成活率明显高于小苗，但种苗越大，抽薹率也越高，大苗高于小苗32.3个百分点，高于中苗9.1个百分点。</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（2）2019年种苗试验</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sz w:val="32"/>
          <w:szCs w:val="32"/>
          <w:lang w:val="en-US" w:eastAsia="zh-CN"/>
        </w:rPr>
        <w:t>试验地点：</w:t>
      </w:r>
      <w:r>
        <w:rPr>
          <w:rFonts w:hint="eastAsia" w:ascii="仿宋" w:hAnsi="仿宋" w:eastAsia="仿宋" w:cs="仿宋"/>
          <w:kern w:val="2"/>
          <w:sz w:val="32"/>
          <w:szCs w:val="32"/>
          <w:lang w:val="en-US" w:eastAsia="zh-CN" w:bidi="ar-SA"/>
        </w:rPr>
        <w:t>互助县威远镇余家村试验基地</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试验设计：种苗大小试验设4个处理，</w:t>
      </w:r>
      <w:r>
        <w:rPr>
          <w:rFonts w:hint="eastAsia" w:ascii="仿宋" w:hAnsi="仿宋" w:eastAsia="仿宋" w:cs="仿宋"/>
          <w:sz w:val="32"/>
          <w:szCs w:val="32"/>
          <w:lang w:val="en-US" w:eastAsia="zh-CN"/>
        </w:rPr>
        <w:t>在2018年大、中、小苗的基础上精确种苗分级，</w:t>
      </w:r>
      <w:r>
        <w:rPr>
          <w:rFonts w:hint="eastAsia" w:ascii="仿宋" w:hAnsi="仿宋" w:eastAsia="仿宋" w:cs="仿宋"/>
          <w:kern w:val="2"/>
          <w:sz w:val="32"/>
          <w:szCs w:val="32"/>
          <w:lang w:val="en-US" w:eastAsia="zh-CN" w:bidi="ar-SA"/>
        </w:rPr>
        <w:t>分别设特小苗（直径&lt;0.2cm）、小苗（0.2cm&lt;直径&lt;0.5cm）、中苗（0.5cm&lt;直径&lt;0.8）、大苗(直径&gt;0.8cm)；试验采用单因素随机区组设计,每个处理3次重复，每小区面积为20㎡。</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0" w:firstLineChars="200"/>
        <w:jc w:val="center"/>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表3  种苗大小对当归成活率、抽薹率及质量性状和产量的影响</w:t>
      </w:r>
    </w:p>
    <w:tbl>
      <w:tblPr>
        <w:tblStyle w:val="4"/>
        <w:tblW w:w="5815" w:type="pct"/>
        <w:jc w:val="center"/>
        <w:tblBorders>
          <w:top w:val="single" w:color="000000" w:sz="18" w:space="0"/>
          <w:left w:val="none" w:color="auto" w:sz="0" w:space="0"/>
          <w:bottom w:val="single" w:color="000000" w:sz="18"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918"/>
        <w:gridCol w:w="755"/>
        <w:gridCol w:w="547"/>
        <w:gridCol w:w="645"/>
        <w:gridCol w:w="283"/>
        <w:gridCol w:w="534"/>
        <w:gridCol w:w="549"/>
        <w:gridCol w:w="660"/>
        <w:gridCol w:w="548"/>
        <w:gridCol w:w="409"/>
        <w:gridCol w:w="548"/>
        <w:gridCol w:w="409"/>
        <w:gridCol w:w="548"/>
        <w:gridCol w:w="791"/>
        <w:gridCol w:w="551"/>
      </w:tblGrid>
      <w:tr>
        <w:tblPrEx>
          <w:tblBorders>
            <w:top w:val="single" w:color="000000" w:sz="18" w:space="0"/>
            <w:left w:val="none" w:color="auto" w:sz="0" w:space="0"/>
            <w:bottom w:val="single" w:color="000000" w:sz="18" w:space="0"/>
            <w:right w:val="none" w:color="auto" w:sz="0" w:space="0"/>
            <w:insideH w:val="none" w:color="auto" w:sz="0" w:space="0"/>
            <w:insideV w:val="none" w:color="auto" w:sz="0" w:space="0"/>
          </w:tblBorders>
          <w:tblCellMar>
            <w:top w:w="0" w:type="dxa"/>
            <w:left w:w="0" w:type="dxa"/>
            <w:bottom w:w="0" w:type="dxa"/>
            <w:right w:w="0" w:type="dxa"/>
          </w:tblCellMar>
        </w:tblPrEx>
        <w:trPr>
          <w:trHeight w:val="1126" w:hRule="atLeast"/>
          <w:jc w:val="center"/>
        </w:trPr>
        <w:tc>
          <w:tcPr>
            <w:tcW w:w="1919" w:type="dxa"/>
            <w:tcBorders>
              <w:top w:val="single" w:color="000000" w:sz="18" w:space="0"/>
              <w:tl2br w:val="nil"/>
              <w:tr2bl w:val="nil"/>
            </w:tcBorders>
            <w:shd w:val="clear" w:color="auto" w:fill="auto"/>
            <w:tcMar>
              <w:top w:w="15" w:type="dxa"/>
              <w:left w:w="15" w:type="dxa"/>
              <w:right w:w="15" w:type="dxa"/>
            </w:tcMar>
            <w:vAlign w:val="center"/>
          </w:tcPr>
          <w:p>
            <w:pPr>
              <w:widowControl/>
              <w:spacing w:line="360" w:lineRule="exact"/>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处理</w:t>
            </w:r>
          </w:p>
        </w:tc>
        <w:tc>
          <w:tcPr>
            <w:tcW w:w="1302" w:type="dxa"/>
            <w:gridSpan w:val="2"/>
            <w:tcBorders>
              <w:top w:val="single" w:color="000000" w:sz="18" w:space="0"/>
              <w:tl2br w:val="nil"/>
              <w:tr2bl w:val="nil"/>
            </w:tcBorders>
            <w:shd w:val="clear" w:color="auto" w:fill="auto"/>
            <w:tcMar>
              <w:top w:w="15" w:type="dxa"/>
              <w:left w:w="15" w:type="dxa"/>
              <w:right w:w="15" w:type="dxa"/>
            </w:tcMar>
            <w:vAlign w:val="center"/>
          </w:tcPr>
          <w:p>
            <w:pPr>
              <w:widowControl/>
              <w:spacing w:line="360" w:lineRule="exact"/>
              <w:jc w:val="center"/>
              <w:textAlignment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成活率</w:t>
            </w:r>
          </w:p>
          <w:p>
            <w:pPr>
              <w:widowControl/>
              <w:spacing w:line="360" w:lineRule="exact"/>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w:t>
            </w:r>
          </w:p>
        </w:tc>
        <w:tc>
          <w:tcPr>
            <w:tcW w:w="928" w:type="dxa"/>
            <w:gridSpan w:val="2"/>
            <w:tcBorders>
              <w:top w:val="single" w:color="000000" w:sz="18" w:space="0"/>
              <w:tl2br w:val="nil"/>
              <w:tr2bl w:val="nil"/>
            </w:tcBorders>
            <w:shd w:val="clear" w:color="auto" w:fill="auto"/>
            <w:tcMar>
              <w:top w:w="15" w:type="dxa"/>
              <w:left w:w="15" w:type="dxa"/>
              <w:right w:w="15" w:type="dxa"/>
            </w:tcMar>
            <w:vAlign w:val="center"/>
          </w:tcPr>
          <w:p>
            <w:pPr>
              <w:widowControl/>
              <w:spacing w:line="360" w:lineRule="exact"/>
              <w:jc w:val="center"/>
              <w:textAlignment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抽薹率</w:t>
            </w:r>
          </w:p>
          <w:p>
            <w:pPr>
              <w:widowControl/>
              <w:spacing w:line="360" w:lineRule="exact"/>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w:t>
            </w:r>
          </w:p>
        </w:tc>
        <w:tc>
          <w:tcPr>
            <w:tcW w:w="1083" w:type="dxa"/>
            <w:gridSpan w:val="2"/>
            <w:tcBorders>
              <w:top w:val="single" w:color="000000" w:sz="18" w:space="0"/>
              <w:tl2br w:val="nil"/>
              <w:tr2bl w:val="nil"/>
            </w:tcBorders>
            <w:shd w:val="clear" w:color="auto" w:fill="auto"/>
            <w:tcMar>
              <w:top w:w="15" w:type="dxa"/>
              <w:left w:w="15" w:type="dxa"/>
              <w:right w:w="15" w:type="dxa"/>
            </w:tcMar>
            <w:vAlign w:val="center"/>
          </w:tcPr>
          <w:p>
            <w:pPr>
              <w:widowControl/>
              <w:spacing w:line="360" w:lineRule="exact"/>
              <w:jc w:val="center"/>
              <w:textAlignment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根长</w:t>
            </w:r>
          </w:p>
          <w:p>
            <w:pPr>
              <w:widowControl/>
              <w:spacing w:line="360" w:lineRule="exact"/>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（cm）</w:t>
            </w:r>
          </w:p>
        </w:tc>
        <w:tc>
          <w:tcPr>
            <w:tcW w:w="1208" w:type="dxa"/>
            <w:gridSpan w:val="2"/>
            <w:tcBorders>
              <w:top w:val="single" w:color="000000" w:sz="18" w:space="0"/>
              <w:tl2br w:val="nil"/>
              <w:tr2bl w:val="nil"/>
            </w:tcBorders>
            <w:shd w:val="clear" w:color="auto" w:fill="auto"/>
            <w:tcMar>
              <w:top w:w="15" w:type="dxa"/>
              <w:left w:w="15" w:type="dxa"/>
              <w:right w:w="15" w:type="dxa"/>
            </w:tcMar>
            <w:vAlign w:val="center"/>
          </w:tcPr>
          <w:p>
            <w:pPr>
              <w:widowControl/>
              <w:spacing w:line="360" w:lineRule="exact"/>
              <w:jc w:val="center"/>
              <w:textAlignment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根鲜重</w:t>
            </w:r>
          </w:p>
          <w:p>
            <w:pPr>
              <w:widowControl/>
              <w:spacing w:line="360" w:lineRule="exact"/>
              <w:jc w:val="center"/>
              <w:textAlignment w:val="top"/>
              <w:rPr>
                <w:rFonts w:cs="宋体" w:asciiTheme="majorEastAsia" w:hAnsiTheme="majorEastAsia" w:eastAsiaTheme="majorEastAsia"/>
                <w:color w:val="000000"/>
                <w:kern w:val="0"/>
                <w:sz w:val="24"/>
                <w:szCs w:val="24"/>
              </w:rPr>
            </w:pPr>
            <w:r>
              <w:rPr>
                <w:rFonts w:hint="eastAsia" w:ascii="宋体" w:hAnsi="宋体" w:eastAsia="宋体" w:cs="宋体"/>
                <w:color w:val="000000"/>
                <w:kern w:val="0"/>
                <w:sz w:val="24"/>
                <w:szCs w:val="24"/>
              </w:rPr>
              <w:t>（g）</w:t>
            </w:r>
          </w:p>
        </w:tc>
        <w:tc>
          <w:tcPr>
            <w:tcW w:w="957" w:type="dxa"/>
            <w:gridSpan w:val="2"/>
            <w:tcBorders>
              <w:top w:val="single" w:color="000000" w:sz="18" w:space="0"/>
              <w:tl2br w:val="nil"/>
              <w:tr2bl w:val="nil"/>
            </w:tcBorders>
            <w:shd w:val="clear" w:color="auto" w:fill="auto"/>
            <w:tcMar>
              <w:top w:w="15" w:type="dxa"/>
              <w:left w:w="15" w:type="dxa"/>
              <w:right w:w="15" w:type="dxa"/>
            </w:tcMar>
            <w:vAlign w:val="center"/>
          </w:tcPr>
          <w:p>
            <w:pPr>
              <w:widowControl/>
              <w:spacing w:line="360" w:lineRule="exact"/>
              <w:jc w:val="center"/>
              <w:textAlignment w:val="top"/>
              <w:rPr>
                <w:rFonts w:ascii="宋体" w:hAnsi="宋体" w:eastAsia="宋体" w:cs="宋体"/>
                <w:color w:val="000000"/>
                <w:kern w:val="0"/>
                <w:sz w:val="24"/>
                <w:szCs w:val="24"/>
              </w:rPr>
            </w:pPr>
            <w:r>
              <w:rPr>
                <w:rFonts w:hint="eastAsia" w:ascii="宋体" w:hAnsi="宋体" w:eastAsia="宋体" w:cs="宋体"/>
                <w:color w:val="000000"/>
                <w:kern w:val="0"/>
                <w:sz w:val="24"/>
                <w:szCs w:val="24"/>
              </w:rPr>
              <w:t xml:space="preserve">归头粗 </w:t>
            </w:r>
          </w:p>
          <w:p>
            <w:pPr>
              <w:widowControl/>
              <w:spacing w:line="360" w:lineRule="exact"/>
              <w:jc w:val="center"/>
              <w:textAlignment w:val="top"/>
              <w:rPr>
                <w:rFonts w:cs="宋体" w:asciiTheme="majorEastAsia" w:hAnsiTheme="majorEastAsia" w:eastAsiaTheme="majorEastAsia"/>
                <w:color w:val="000000"/>
                <w:kern w:val="0"/>
                <w:sz w:val="24"/>
                <w:szCs w:val="24"/>
              </w:rPr>
            </w:pPr>
            <w:r>
              <w:rPr>
                <w:rFonts w:hint="eastAsia" w:ascii="宋体" w:hAnsi="宋体" w:eastAsia="宋体" w:cs="宋体"/>
                <w:color w:val="000000"/>
                <w:kern w:val="0"/>
                <w:sz w:val="24"/>
                <w:szCs w:val="24"/>
              </w:rPr>
              <w:t>(cm)</w:t>
            </w:r>
          </w:p>
        </w:tc>
        <w:tc>
          <w:tcPr>
            <w:tcW w:w="957" w:type="dxa"/>
            <w:gridSpan w:val="2"/>
            <w:tcBorders>
              <w:top w:val="single" w:color="000000" w:sz="18" w:space="0"/>
              <w:tl2br w:val="nil"/>
              <w:tr2bl w:val="nil"/>
            </w:tcBorders>
            <w:shd w:val="clear" w:color="auto" w:fill="auto"/>
            <w:tcMar>
              <w:top w:w="15" w:type="dxa"/>
              <w:left w:w="15" w:type="dxa"/>
              <w:right w:w="15" w:type="dxa"/>
            </w:tcMar>
            <w:vAlign w:val="center"/>
          </w:tcPr>
          <w:p>
            <w:pPr>
              <w:widowControl/>
              <w:spacing w:line="360" w:lineRule="exact"/>
              <w:jc w:val="center"/>
              <w:textAlignment w:val="top"/>
              <w:rPr>
                <w:rFonts w:ascii="宋体" w:hAnsi="宋体" w:eastAsia="宋体" w:cs="宋体"/>
                <w:color w:val="000000"/>
                <w:kern w:val="0"/>
                <w:sz w:val="24"/>
                <w:szCs w:val="24"/>
              </w:rPr>
            </w:pPr>
            <w:r>
              <w:rPr>
                <w:rFonts w:hint="eastAsia" w:ascii="宋体" w:hAnsi="宋体" w:eastAsia="宋体" w:cs="宋体"/>
                <w:color w:val="000000"/>
                <w:kern w:val="0"/>
                <w:sz w:val="24"/>
                <w:szCs w:val="24"/>
              </w:rPr>
              <w:t>归头长</w:t>
            </w:r>
          </w:p>
          <w:p>
            <w:pPr>
              <w:widowControl/>
              <w:spacing w:line="360" w:lineRule="exact"/>
              <w:jc w:val="center"/>
              <w:textAlignment w:val="top"/>
              <w:rPr>
                <w:rFonts w:cs="宋体" w:asciiTheme="majorEastAsia" w:hAnsiTheme="majorEastAsia" w:eastAsiaTheme="majorEastAsia"/>
                <w:color w:val="000000"/>
                <w:kern w:val="0"/>
                <w:sz w:val="24"/>
                <w:szCs w:val="24"/>
              </w:rPr>
            </w:pPr>
            <w:r>
              <w:rPr>
                <w:rFonts w:hint="eastAsia" w:ascii="宋体" w:hAnsi="宋体" w:eastAsia="宋体" w:cs="宋体"/>
                <w:color w:val="000000"/>
                <w:kern w:val="0"/>
                <w:sz w:val="24"/>
                <w:szCs w:val="24"/>
              </w:rPr>
              <w:t>(cm)</w:t>
            </w:r>
          </w:p>
        </w:tc>
        <w:tc>
          <w:tcPr>
            <w:tcW w:w="1342" w:type="dxa"/>
            <w:gridSpan w:val="2"/>
            <w:tcBorders>
              <w:top w:val="single" w:color="000000" w:sz="18" w:space="0"/>
              <w:tl2br w:val="nil"/>
              <w:tr2bl w:val="nil"/>
            </w:tcBorders>
            <w:shd w:val="clear" w:color="auto" w:fill="auto"/>
            <w:tcMar>
              <w:top w:w="15" w:type="dxa"/>
              <w:left w:w="15" w:type="dxa"/>
              <w:right w:w="15" w:type="dxa"/>
            </w:tcMar>
            <w:vAlign w:val="center"/>
          </w:tcPr>
          <w:p>
            <w:pPr>
              <w:widowControl/>
              <w:spacing w:line="360" w:lineRule="exact"/>
              <w:ind w:right="5"/>
              <w:jc w:val="center"/>
              <w:textAlignment w:val="top"/>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rPr>
              <w:t>产量</w:t>
            </w:r>
          </w:p>
          <w:p>
            <w:pPr>
              <w:widowControl/>
              <w:spacing w:line="360" w:lineRule="exact"/>
              <w:ind w:right="5"/>
              <w:jc w:val="center"/>
              <w:textAlignment w:val="top"/>
              <w:rPr>
                <w:rFonts w:ascii="宋体" w:hAnsi="宋体" w:eastAsia="宋体" w:cs="宋体"/>
                <w:color w:val="000000"/>
                <w:kern w:val="0"/>
                <w:sz w:val="24"/>
                <w:szCs w:val="24"/>
              </w:rPr>
            </w:pPr>
            <w:r>
              <w:rPr>
                <w:rFonts w:hint="eastAsia" w:ascii="宋体" w:hAnsi="宋体" w:eastAsia="宋体" w:cs="宋体"/>
                <w:color w:val="000000"/>
                <w:kern w:val="0"/>
                <w:sz w:val="24"/>
                <w:szCs w:val="24"/>
              </w:rPr>
              <w:t>（</w:t>
            </w:r>
            <w:r>
              <w:rPr>
                <w:rFonts w:hint="eastAsia" w:ascii="宋体" w:hAnsi="宋体" w:eastAsia="宋体" w:cs="宋体"/>
                <w:color w:val="000000"/>
                <w:kern w:val="0"/>
                <w:sz w:val="24"/>
                <w:szCs w:val="24"/>
                <w:lang w:eastAsia="zh-CN"/>
              </w:rPr>
              <w:t>kg</w:t>
            </w:r>
            <w:r>
              <w:rPr>
                <w:rFonts w:hint="eastAsia" w:ascii="宋体" w:hAnsi="宋体" w:eastAsia="宋体" w:cs="宋体"/>
                <w:color w:val="000000"/>
                <w:kern w:val="0"/>
                <w:sz w:val="24"/>
                <w:szCs w:val="24"/>
              </w:rPr>
              <w:t xml:space="preserve"> /667㎡）</w:t>
            </w:r>
          </w:p>
        </w:tc>
      </w:tr>
      <w:tr>
        <w:tblPrEx>
          <w:tblBorders>
            <w:top w:val="single" w:color="000000" w:sz="18" w:space="0"/>
            <w:left w:val="none" w:color="auto" w:sz="0" w:space="0"/>
            <w:bottom w:val="single" w:color="000000" w:sz="18" w:space="0"/>
            <w:right w:val="none" w:color="auto" w:sz="0" w:space="0"/>
            <w:insideH w:val="none" w:color="auto" w:sz="0" w:space="0"/>
            <w:insideV w:val="none" w:color="auto" w:sz="0" w:space="0"/>
          </w:tblBorders>
          <w:tblCellMar>
            <w:top w:w="0" w:type="dxa"/>
            <w:left w:w="0" w:type="dxa"/>
            <w:bottom w:w="0" w:type="dxa"/>
            <w:right w:w="0" w:type="dxa"/>
          </w:tblCellMar>
        </w:tblPrEx>
        <w:trPr>
          <w:trHeight w:val="813" w:hRule="exact"/>
          <w:jc w:val="center"/>
        </w:trPr>
        <w:tc>
          <w:tcPr>
            <w:tcW w:w="1919" w:type="dxa"/>
            <w:tcBorders>
              <w:top w:val="single" w:color="000000" w:sz="18" w:space="0"/>
              <w:tl2br w:val="nil"/>
              <w:tr2bl w:val="nil"/>
            </w:tcBorders>
            <w:shd w:val="clear" w:color="auto" w:fill="auto"/>
            <w:tcMar>
              <w:top w:w="15" w:type="dxa"/>
              <w:left w:w="15" w:type="dxa"/>
              <w:right w:w="15" w:type="dxa"/>
            </w:tcMar>
            <w:vAlign w:val="center"/>
          </w:tcPr>
          <w:p>
            <w:pPr>
              <w:widowControl/>
              <w:spacing w:line="300" w:lineRule="exact"/>
              <w:jc w:val="center"/>
              <w:textAlignment w:val="top"/>
              <w:rPr>
                <w:rFonts w:cs="宋体" w:asciiTheme="majorEastAsia" w:hAnsiTheme="majorEastAsia" w:eastAsiaTheme="majorEastAsia"/>
                <w:color w:val="000000"/>
                <w:kern w:val="0"/>
                <w:sz w:val="24"/>
                <w:szCs w:val="24"/>
              </w:rPr>
            </w:pPr>
            <w:r>
              <w:rPr>
                <w:rFonts w:hint="eastAsia" w:cs="宋体" w:asciiTheme="majorEastAsia" w:hAnsiTheme="majorEastAsia" w:eastAsiaTheme="majorEastAsia"/>
                <w:color w:val="000000"/>
                <w:kern w:val="0"/>
                <w:sz w:val="24"/>
                <w:szCs w:val="24"/>
              </w:rPr>
              <w:t>特小苗</w:t>
            </w:r>
          </w:p>
          <w:p>
            <w:pPr>
              <w:widowControl/>
              <w:spacing w:line="300" w:lineRule="exact"/>
              <w:jc w:val="center"/>
              <w:textAlignment w:val="top"/>
              <w:rPr>
                <w:rFonts w:cs="宋体" w:asciiTheme="majorEastAsia" w:hAnsiTheme="majorEastAsia" w:eastAsiaTheme="majorEastAsia"/>
                <w:color w:val="000000"/>
                <w:sz w:val="24"/>
                <w:szCs w:val="24"/>
              </w:rPr>
            </w:pPr>
            <w:r>
              <w:rPr>
                <w:rFonts w:hint="eastAsia" w:cs="宋体" w:asciiTheme="majorEastAsia" w:hAnsiTheme="majorEastAsia" w:eastAsiaTheme="majorEastAsia"/>
                <w:color w:val="000000"/>
                <w:kern w:val="0"/>
                <w:sz w:val="24"/>
                <w:szCs w:val="24"/>
              </w:rPr>
              <w:t>（d&lt;0.2cm）</w:t>
            </w:r>
          </w:p>
        </w:tc>
        <w:tc>
          <w:tcPr>
            <w:tcW w:w="755" w:type="dxa"/>
            <w:tcBorders>
              <w:top w:val="single" w:color="000000" w:sz="18" w:space="0"/>
              <w:tl2br w:val="nil"/>
              <w:tr2bl w:val="nil"/>
            </w:tcBorders>
            <w:shd w:val="clear" w:color="auto" w:fill="auto"/>
            <w:tcMar>
              <w:top w:w="15" w:type="dxa"/>
              <w:left w:w="15" w:type="dxa"/>
              <w:right w:w="15" w:type="dxa"/>
            </w:tcMar>
            <w:vAlign w:val="center"/>
          </w:tcPr>
          <w:p>
            <w:pPr>
              <w:widowControl/>
              <w:spacing w:line="440" w:lineRule="exact"/>
              <w:ind w:firstLine="240" w:firstLineChars="100"/>
              <w:jc w:val="right"/>
              <w:textAlignment w:val="top"/>
              <w:rPr>
                <w:rFonts w:cs="宋体" w:asciiTheme="majorEastAsia" w:hAnsiTheme="majorEastAsia" w:eastAsiaTheme="majorEastAsia"/>
                <w:color w:val="000000"/>
                <w:kern w:val="0"/>
                <w:sz w:val="24"/>
                <w:szCs w:val="24"/>
              </w:rPr>
            </w:pPr>
            <w:r>
              <w:rPr>
                <w:rFonts w:hint="eastAsia" w:cs="宋体" w:asciiTheme="majorEastAsia" w:hAnsiTheme="majorEastAsia" w:eastAsiaTheme="majorEastAsia"/>
                <w:color w:val="000000"/>
                <w:kern w:val="0"/>
                <w:sz w:val="24"/>
                <w:szCs w:val="24"/>
              </w:rPr>
              <w:t>70.8</w:t>
            </w:r>
          </w:p>
        </w:tc>
        <w:tc>
          <w:tcPr>
            <w:tcW w:w="547" w:type="dxa"/>
            <w:tcBorders>
              <w:top w:val="single" w:color="000000" w:sz="18" w:space="0"/>
              <w:tl2br w:val="nil"/>
              <w:tr2bl w:val="nil"/>
            </w:tcBorders>
            <w:shd w:val="clear" w:color="auto" w:fill="auto"/>
            <w:noWrap/>
            <w:tcMar>
              <w:top w:w="15" w:type="dxa"/>
              <w:left w:w="15" w:type="dxa"/>
              <w:right w:w="15" w:type="dxa"/>
            </w:tcMar>
            <w:vAlign w:val="center"/>
          </w:tcPr>
          <w:p>
            <w:pPr>
              <w:widowControl/>
              <w:spacing w:line="440" w:lineRule="exact"/>
              <w:textAlignment w:val="center"/>
              <w:rPr>
                <w:rFonts w:cs="宋体" w:asciiTheme="majorEastAsia" w:hAnsiTheme="majorEastAsia" w:eastAsiaTheme="majorEastAsia"/>
                <w:color w:val="000000"/>
                <w:kern w:val="0"/>
                <w:sz w:val="24"/>
                <w:szCs w:val="24"/>
              </w:rPr>
            </w:pPr>
            <w:r>
              <w:rPr>
                <w:rFonts w:hint="eastAsia" w:cs="宋体" w:asciiTheme="majorEastAsia" w:hAnsiTheme="majorEastAsia" w:eastAsiaTheme="majorEastAsia"/>
                <w:color w:val="000000"/>
                <w:kern w:val="0"/>
                <w:sz w:val="24"/>
                <w:szCs w:val="24"/>
              </w:rPr>
              <w:t>dB</w:t>
            </w:r>
          </w:p>
        </w:tc>
        <w:tc>
          <w:tcPr>
            <w:tcW w:w="645" w:type="dxa"/>
            <w:tcBorders>
              <w:top w:val="single" w:color="000000" w:sz="18" w:space="0"/>
              <w:tl2br w:val="nil"/>
              <w:tr2bl w:val="nil"/>
            </w:tcBorders>
            <w:shd w:val="clear" w:color="auto" w:fill="auto"/>
            <w:tcMar>
              <w:top w:w="15" w:type="dxa"/>
              <w:left w:w="15" w:type="dxa"/>
              <w:right w:w="15" w:type="dxa"/>
            </w:tcMar>
            <w:vAlign w:val="center"/>
          </w:tcPr>
          <w:p>
            <w:pPr>
              <w:widowControl/>
              <w:spacing w:line="440" w:lineRule="exact"/>
              <w:ind w:right="210"/>
              <w:jc w:val="right"/>
              <w:textAlignment w:val="top"/>
              <w:rPr>
                <w:rFonts w:cs="宋体" w:asciiTheme="majorEastAsia" w:hAnsiTheme="majorEastAsia" w:eastAsiaTheme="majorEastAsia"/>
                <w:color w:val="000000"/>
                <w:kern w:val="0"/>
                <w:sz w:val="24"/>
                <w:szCs w:val="24"/>
              </w:rPr>
            </w:pPr>
            <w:r>
              <w:rPr>
                <w:rFonts w:hint="eastAsia" w:cs="宋体" w:asciiTheme="majorEastAsia" w:hAnsiTheme="majorEastAsia" w:eastAsiaTheme="majorEastAsia"/>
                <w:color w:val="000000"/>
                <w:kern w:val="0"/>
                <w:sz w:val="24"/>
                <w:szCs w:val="24"/>
              </w:rPr>
              <w:t>5.3</w:t>
            </w:r>
          </w:p>
        </w:tc>
        <w:tc>
          <w:tcPr>
            <w:tcW w:w="283" w:type="dxa"/>
            <w:tcBorders>
              <w:top w:val="single" w:color="000000" w:sz="18" w:space="0"/>
              <w:tl2br w:val="nil"/>
              <w:tr2bl w:val="nil"/>
            </w:tcBorders>
            <w:shd w:val="clear" w:color="auto" w:fill="auto"/>
            <w:tcMar>
              <w:top w:w="15" w:type="dxa"/>
              <w:left w:w="15" w:type="dxa"/>
              <w:right w:w="15" w:type="dxa"/>
            </w:tcMar>
            <w:vAlign w:val="center"/>
          </w:tcPr>
          <w:p>
            <w:pPr>
              <w:widowControl/>
              <w:spacing w:line="440" w:lineRule="exact"/>
              <w:textAlignment w:val="top"/>
              <w:rPr>
                <w:rFonts w:cs="宋体" w:asciiTheme="majorEastAsia" w:hAnsiTheme="majorEastAsia" w:eastAsiaTheme="majorEastAsia"/>
                <w:color w:val="000000"/>
                <w:kern w:val="0"/>
                <w:sz w:val="24"/>
                <w:szCs w:val="24"/>
              </w:rPr>
            </w:pPr>
            <w:r>
              <w:rPr>
                <w:rFonts w:hint="eastAsia" w:cs="宋体" w:asciiTheme="majorEastAsia" w:hAnsiTheme="majorEastAsia" w:eastAsiaTheme="majorEastAsia"/>
                <w:color w:val="000000"/>
                <w:kern w:val="0"/>
                <w:sz w:val="24"/>
                <w:szCs w:val="24"/>
              </w:rPr>
              <w:t>dD</w:t>
            </w:r>
          </w:p>
        </w:tc>
        <w:tc>
          <w:tcPr>
            <w:tcW w:w="534" w:type="dxa"/>
            <w:tcBorders>
              <w:top w:val="single" w:color="000000" w:sz="18" w:space="0"/>
              <w:tl2br w:val="nil"/>
              <w:tr2bl w:val="nil"/>
            </w:tcBorders>
            <w:shd w:val="clear" w:color="auto" w:fill="auto"/>
            <w:tcMar>
              <w:top w:w="15" w:type="dxa"/>
              <w:left w:w="15" w:type="dxa"/>
              <w:right w:w="15" w:type="dxa"/>
            </w:tcMar>
            <w:vAlign w:val="center"/>
          </w:tcPr>
          <w:p>
            <w:pPr>
              <w:widowControl/>
              <w:spacing w:line="440" w:lineRule="exact"/>
              <w:jc w:val="right"/>
              <w:textAlignment w:val="top"/>
              <w:rPr>
                <w:rFonts w:cs="宋体" w:asciiTheme="majorEastAsia" w:hAnsiTheme="majorEastAsia" w:eastAsiaTheme="majorEastAsia"/>
                <w:color w:val="000000"/>
                <w:kern w:val="0"/>
                <w:sz w:val="24"/>
                <w:szCs w:val="24"/>
              </w:rPr>
            </w:pPr>
            <w:r>
              <w:rPr>
                <w:rFonts w:hint="eastAsia" w:cs="宋体" w:asciiTheme="majorEastAsia" w:hAnsiTheme="majorEastAsia" w:eastAsiaTheme="majorEastAsia"/>
                <w:color w:val="000000"/>
                <w:kern w:val="0"/>
                <w:sz w:val="24"/>
                <w:szCs w:val="24"/>
              </w:rPr>
              <w:t>20.3</w:t>
            </w:r>
          </w:p>
        </w:tc>
        <w:tc>
          <w:tcPr>
            <w:tcW w:w="549" w:type="dxa"/>
            <w:tcBorders>
              <w:top w:val="single" w:color="000000" w:sz="18" w:space="0"/>
              <w:tl2br w:val="nil"/>
              <w:tr2bl w:val="nil"/>
            </w:tcBorders>
            <w:shd w:val="clear" w:color="auto" w:fill="auto"/>
            <w:noWrap/>
            <w:tcMar>
              <w:top w:w="15" w:type="dxa"/>
              <w:left w:w="15" w:type="dxa"/>
              <w:right w:w="15" w:type="dxa"/>
            </w:tcMar>
            <w:vAlign w:val="center"/>
          </w:tcPr>
          <w:p>
            <w:pPr>
              <w:widowControl/>
              <w:spacing w:line="440" w:lineRule="exact"/>
              <w:textAlignment w:val="top"/>
              <w:rPr>
                <w:rFonts w:cs="宋体" w:asciiTheme="majorEastAsia" w:hAnsiTheme="majorEastAsia" w:eastAsiaTheme="majorEastAsia"/>
                <w:color w:val="000000"/>
                <w:kern w:val="0"/>
                <w:sz w:val="24"/>
                <w:szCs w:val="24"/>
              </w:rPr>
            </w:pPr>
            <w:r>
              <w:rPr>
                <w:rFonts w:hint="eastAsia" w:cs="宋体" w:asciiTheme="majorEastAsia" w:hAnsiTheme="majorEastAsia" w:eastAsiaTheme="majorEastAsia"/>
                <w:color w:val="000000"/>
                <w:kern w:val="0"/>
                <w:sz w:val="24"/>
                <w:szCs w:val="24"/>
              </w:rPr>
              <w:t>aA</w:t>
            </w:r>
          </w:p>
        </w:tc>
        <w:tc>
          <w:tcPr>
            <w:tcW w:w="660" w:type="dxa"/>
            <w:tcBorders>
              <w:top w:val="single" w:color="000000" w:sz="18" w:space="0"/>
              <w:tl2br w:val="nil"/>
              <w:tr2bl w:val="nil"/>
            </w:tcBorders>
            <w:shd w:val="clear" w:color="auto" w:fill="auto"/>
            <w:tcMar>
              <w:top w:w="15" w:type="dxa"/>
              <w:left w:w="15" w:type="dxa"/>
              <w:right w:w="15" w:type="dxa"/>
            </w:tcMar>
            <w:vAlign w:val="center"/>
          </w:tcPr>
          <w:p>
            <w:pPr>
              <w:widowControl/>
              <w:spacing w:line="440" w:lineRule="exact"/>
              <w:jc w:val="right"/>
              <w:textAlignment w:val="top"/>
              <w:rPr>
                <w:rFonts w:cs="宋体" w:asciiTheme="majorEastAsia" w:hAnsiTheme="majorEastAsia" w:eastAsiaTheme="majorEastAsia"/>
                <w:color w:val="000000"/>
                <w:kern w:val="0"/>
                <w:sz w:val="24"/>
                <w:szCs w:val="24"/>
              </w:rPr>
            </w:pPr>
            <w:r>
              <w:rPr>
                <w:rFonts w:hint="eastAsia" w:cs="宋体" w:asciiTheme="majorEastAsia" w:hAnsiTheme="majorEastAsia" w:eastAsiaTheme="majorEastAsia"/>
                <w:color w:val="000000"/>
                <w:kern w:val="0"/>
                <w:sz w:val="24"/>
                <w:szCs w:val="24"/>
              </w:rPr>
              <w:t>107.6</w:t>
            </w:r>
          </w:p>
        </w:tc>
        <w:tc>
          <w:tcPr>
            <w:tcW w:w="548" w:type="dxa"/>
            <w:tcBorders>
              <w:top w:val="single" w:color="000000" w:sz="18" w:space="0"/>
              <w:tl2br w:val="nil"/>
              <w:tr2bl w:val="nil"/>
            </w:tcBorders>
            <w:shd w:val="clear" w:color="auto" w:fill="auto"/>
            <w:noWrap/>
            <w:tcMar>
              <w:top w:w="15" w:type="dxa"/>
              <w:left w:w="15" w:type="dxa"/>
              <w:right w:w="15" w:type="dxa"/>
            </w:tcMar>
            <w:vAlign w:val="center"/>
          </w:tcPr>
          <w:p>
            <w:pPr>
              <w:widowControl/>
              <w:spacing w:line="440" w:lineRule="exact"/>
              <w:jc w:val="left"/>
              <w:textAlignment w:val="top"/>
              <w:rPr>
                <w:rFonts w:cs="宋体" w:asciiTheme="majorEastAsia" w:hAnsiTheme="majorEastAsia" w:eastAsiaTheme="majorEastAsia"/>
                <w:color w:val="000000"/>
                <w:kern w:val="0"/>
                <w:sz w:val="24"/>
                <w:szCs w:val="24"/>
              </w:rPr>
            </w:pPr>
            <w:r>
              <w:rPr>
                <w:rFonts w:hint="eastAsia" w:cs="宋体" w:asciiTheme="majorEastAsia" w:hAnsiTheme="majorEastAsia" w:eastAsiaTheme="majorEastAsia"/>
                <w:color w:val="000000"/>
                <w:kern w:val="0"/>
                <w:sz w:val="24"/>
                <w:szCs w:val="24"/>
              </w:rPr>
              <w:t>bB</w:t>
            </w:r>
          </w:p>
        </w:tc>
        <w:tc>
          <w:tcPr>
            <w:tcW w:w="409" w:type="dxa"/>
            <w:tcBorders>
              <w:top w:val="single" w:color="000000" w:sz="18" w:space="0"/>
              <w:tl2br w:val="nil"/>
              <w:tr2bl w:val="nil"/>
            </w:tcBorders>
            <w:shd w:val="clear" w:color="auto" w:fill="auto"/>
            <w:tcMar>
              <w:top w:w="15" w:type="dxa"/>
              <w:left w:w="15" w:type="dxa"/>
              <w:right w:w="15" w:type="dxa"/>
            </w:tcMar>
            <w:vAlign w:val="center"/>
          </w:tcPr>
          <w:p>
            <w:pPr>
              <w:widowControl/>
              <w:spacing w:line="440" w:lineRule="exact"/>
              <w:jc w:val="right"/>
              <w:textAlignment w:val="top"/>
              <w:rPr>
                <w:rFonts w:cs="宋体" w:asciiTheme="majorEastAsia" w:hAnsiTheme="majorEastAsia" w:eastAsiaTheme="majorEastAsia"/>
                <w:color w:val="000000"/>
                <w:kern w:val="0"/>
                <w:sz w:val="24"/>
                <w:szCs w:val="24"/>
              </w:rPr>
            </w:pPr>
            <w:r>
              <w:rPr>
                <w:rFonts w:hint="eastAsia" w:cs="宋体" w:asciiTheme="majorEastAsia" w:hAnsiTheme="majorEastAsia" w:eastAsiaTheme="majorEastAsia"/>
                <w:color w:val="000000"/>
                <w:kern w:val="0"/>
                <w:sz w:val="24"/>
                <w:szCs w:val="24"/>
              </w:rPr>
              <w:t>2.3</w:t>
            </w:r>
          </w:p>
        </w:tc>
        <w:tc>
          <w:tcPr>
            <w:tcW w:w="548" w:type="dxa"/>
            <w:tcBorders>
              <w:top w:val="single" w:color="000000" w:sz="18" w:space="0"/>
              <w:tl2br w:val="nil"/>
              <w:tr2bl w:val="nil"/>
            </w:tcBorders>
            <w:shd w:val="clear" w:color="auto" w:fill="auto"/>
            <w:noWrap/>
            <w:tcMar>
              <w:top w:w="15" w:type="dxa"/>
              <w:left w:w="15" w:type="dxa"/>
              <w:right w:w="15" w:type="dxa"/>
            </w:tcMar>
            <w:vAlign w:val="center"/>
          </w:tcPr>
          <w:p>
            <w:pPr>
              <w:widowControl/>
              <w:spacing w:line="440" w:lineRule="exact"/>
              <w:jc w:val="left"/>
              <w:textAlignment w:val="top"/>
              <w:rPr>
                <w:rFonts w:cs="宋体" w:asciiTheme="majorEastAsia" w:hAnsiTheme="majorEastAsia" w:eastAsiaTheme="majorEastAsia"/>
                <w:color w:val="000000"/>
                <w:kern w:val="0"/>
                <w:sz w:val="24"/>
                <w:szCs w:val="24"/>
              </w:rPr>
            </w:pPr>
            <w:r>
              <w:rPr>
                <w:rFonts w:hint="eastAsia" w:cs="宋体" w:asciiTheme="majorEastAsia" w:hAnsiTheme="majorEastAsia" w:eastAsiaTheme="majorEastAsia"/>
                <w:color w:val="000000"/>
                <w:kern w:val="0"/>
                <w:sz w:val="24"/>
                <w:szCs w:val="24"/>
              </w:rPr>
              <w:t>bB</w:t>
            </w:r>
          </w:p>
        </w:tc>
        <w:tc>
          <w:tcPr>
            <w:tcW w:w="409" w:type="dxa"/>
            <w:tcBorders>
              <w:top w:val="single" w:color="000000" w:sz="18" w:space="0"/>
              <w:tl2br w:val="nil"/>
              <w:tr2bl w:val="nil"/>
            </w:tcBorders>
            <w:shd w:val="clear" w:color="auto" w:fill="auto"/>
            <w:tcMar>
              <w:top w:w="15" w:type="dxa"/>
              <w:left w:w="15" w:type="dxa"/>
              <w:right w:w="15" w:type="dxa"/>
            </w:tcMar>
            <w:vAlign w:val="center"/>
          </w:tcPr>
          <w:p>
            <w:pPr>
              <w:widowControl/>
              <w:spacing w:line="440" w:lineRule="exact"/>
              <w:jc w:val="both"/>
              <w:textAlignment w:val="top"/>
              <w:rPr>
                <w:rFonts w:cs="宋体" w:asciiTheme="majorEastAsia" w:hAnsiTheme="majorEastAsia" w:eastAsiaTheme="majorEastAsia"/>
                <w:color w:val="000000"/>
                <w:kern w:val="0"/>
                <w:sz w:val="24"/>
                <w:szCs w:val="24"/>
              </w:rPr>
            </w:pPr>
            <w:r>
              <w:rPr>
                <w:rFonts w:hint="eastAsia" w:cs="宋体" w:asciiTheme="majorEastAsia" w:hAnsiTheme="majorEastAsia" w:eastAsiaTheme="majorEastAsia"/>
                <w:color w:val="000000"/>
                <w:kern w:val="0"/>
                <w:sz w:val="24"/>
                <w:szCs w:val="24"/>
              </w:rPr>
              <w:t>2.5</w:t>
            </w:r>
          </w:p>
        </w:tc>
        <w:tc>
          <w:tcPr>
            <w:tcW w:w="548" w:type="dxa"/>
            <w:tcBorders>
              <w:top w:val="single" w:color="000000" w:sz="18" w:space="0"/>
              <w:tl2br w:val="nil"/>
              <w:tr2bl w:val="nil"/>
            </w:tcBorders>
            <w:shd w:val="clear" w:color="auto" w:fill="auto"/>
            <w:noWrap/>
            <w:tcMar>
              <w:top w:w="15" w:type="dxa"/>
              <w:left w:w="15" w:type="dxa"/>
              <w:right w:w="15" w:type="dxa"/>
            </w:tcMar>
            <w:vAlign w:val="center"/>
          </w:tcPr>
          <w:p>
            <w:pPr>
              <w:widowControl/>
              <w:spacing w:line="440" w:lineRule="exact"/>
              <w:jc w:val="left"/>
              <w:textAlignment w:val="top"/>
              <w:rPr>
                <w:rFonts w:cs="宋体" w:asciiTheme="majorEastAsia" w:hAnsiTheme="majorEastAsia" w:eastAsiaTheme="majorEastAsia"/>
                <w:color w:val="000000"/>
                <w:kern w:val="0"/>
                <w:sz w:val="24"/>
                <w:szCs w:val="24"/>
              </w:rPr>
            </w:pPr>
            <w:r>
              <w:rPr>
                <w:rFonts w:hint="eastAsia" w:cs="宋体" w:asciiTheme="majorEastAsia" w:hAnsiTheme="majorEastAsia" w:eastAsiaTheme="majorEastAsia"/>
                <w:color w:val="000000"/>
                <w:kern w:val="0"/>
                <w:sz w:val="24"/>
                <w:szCs w:val="24"/>
              </w:rPr>
              <w:t>b</w:t>
            </w:r>
            <w:r>
              <w:rPr>
                <w:rFonts w:cs="宋体" w:asciiTheme="majorEastAsia" w:hAnsiTheme="majorEastAsia" w:eastAsiaTheme="majorEastAsia"/>
                <w:color w:val="000000"/>
                <w:kern w:val="0"/>
                <w:sz w:val="24"/>
                <w:szCs w:val="24"/>
              </w:rPr>
              <w:t>B</w:t>
            </w:r>
          </w:p>
        </w:tc>
        <w:tc>
          <w:tcPr>
            <w:tcW w:w="791" w:type="dxa"/>
            <w:tcBorders>
              <w:top w:val="single" w:color="000000" w:sz="18" w:space="0"/>
              <w:tl2br w:val="nil"/>
              <w:tr2bl w:val="nil"/>
            </w:tcBorders>
            <w:shd w:val="clear" w:color="auto" w:fill="auto"/>
            <w:tcMar>
              <w:top w:w="15" w:type="dxa"/>
              <w:left w:w="15" w:type="dxa"/>
              <w:right w:w="15" w:type="dxa"/>
            </w:tcMar>
            <w:vAlign w:val="center"/>
          </w:tcPr>
          <w:p>
            <w:pPr>
              <w:widowControl/>
              <w:spacing w:line="440" w:lineRule="exact"/>
              <w:ind w:right="5"/>
              <w:jc w:val="right"/>
              <w:textAlignment w:val="top"/>
              <w:rPr>
                <w:rFonts w:cs="宋体" w:asciiTheme="majorEastAsia" w:hAnsiTheme="majorEastAsia" w:eastAsiaTheme="majorEastAsia"/>
                <w:color w:val="000000"/>
                <w:kern w:val="0"/>
                <w:sz w:val="24"/>
                <w:szCs w:val="24"/>
              </w:rPr>
            </w:pPr>
            <w:r>
              <w:rPr>
                <w:rFonts w:hint="eastAsia" w:ascii="宋体" w:hAnsi="宋体" w:eastAsia="宋体" w:cs="宋体"/>
                <w:color w:val="000000"/>
                <w:kern w:val="0"/>
                <w:sz w:val="24"/>
                <w:szCs w:val="24"/>
              </w:rPr>
              <w:t>606.3</w:t>
            </w:r>
          </w:p>
        </w:tc>
        <w:tc>
          <w:tcPr>
            <w:tcW w:w="551" w:type="dxa"/>
            <w:tcBorders>
              <w:top w:val="single" w:color="000000" w:sz="18" w:space="0"/>
              <w:tl2br w:val="nil"/>
              <w:tr2bl w:val="nil"/>
            </w:tcBorders>
            <w:shd w:val="clear" w:color="auto" w:fill="auto"/>
            <w:noWrap/>
            <w:tcMar>
              <w:top w:w="15" w:type="dxa"/>
              <w:left w:w="15" w:type="dxa"/>
              <w:right w:w="15" w:type="dxa"/>
            </w:tcMar>
            <w:vAlign w:val="center"/>
          </w:tcPr>
          <w:p>
            <w:pPr>
              <w:widowControl/>
              <w:spacing w:line="440" w:lineRule="exact"/>
              <w:ind w:right="5"/>
              <w:textAlignment w:val="top"/>
              <w:rPr>
                <w:rFonts w:ascii="宋体" w:hAnsi="宋体" w:eastAsia="宋体" w:cs="宋体"/>
                <w:color w:val="000000"/>
                <w:kern w:val="0"/>
                <w:sz w:val="24"/>
                <w:szCs w:val="24"/>
              </w:rPr>
            </w:pPr>
            <w:r>
              <w:rPr>
                <w:rFonts w:hint="eastAsia" w:cs="宋体" w:asciiTheme="majorEastAsia" w:hAnsiTheme="majorEastAsia" w:eastAsiaTheme="majorEastAsia"/>
                <w:color w:val="000000"/>
                <w:kern w:val="0"/>
                <w:sz w:val="24"/>
                <w:szCs w:val="24"/>
              </w:rPr>
              <w:t>dD</w:t>
            </w:r>
          </w:p>
        </w:tc>
      </w:tr>
      <w:tr>
        <w:tblPrEx>
          <w:tblBorders>
            <w:top w:val="single" w:color="000000" w:sz="18" w:space="0"/>
            <w:left w:val="none" w:color="auto" w:sz="0" w:space="0"/>
            <w:bottom w:val="single" w:color="000000" w:sz="18" w:space="0"/>
            <w:right w:val="none" w:color="auto" w:sz="0" w:space="0"/>
            <w:insideH w:val="none" w:color="auto" w:sz="0" w:space="0"/>
            <w:insideV w:val="none" w:color="auto" w:sz="0" w:space="0"/>
          </w:tblBorders>
          <w:tblCellMar>
            <w:top w:w="0" w:type="dxa"/>
            <w:left w:w="0" w:type="dxa"/>
            <w:bottom w:w="0" w:type="dxa"/>
            <w:right w:w="0" w:type="dxa"/>
          </w:tblCellMar>
        </w:tblPrEx>
        <w:trPr>
          <w:trHeight w:val="813" w:hRule="exact"/>
          <w:jc w:val="center"/>
        </w:trPr>
        <w:tc>
          <w:tcPr>
            <w:tcW w:w="1919" w:type="dxa"/>
            <w:tcBorders>
              <w:tl2br w:val="nil"/>
              <w:tr2bl w:val="nil"/>
            </w:tcBorders>
            <w:shd w:val="clear" w:color="auto" w:fill="auto"/>
            <w:tcMar>
              <w:top w:w="15" w:type="dxa"/>
              <w:left w:w="15" w:type="dxa"/>
              <w:right w:w="15" w:type="dxa"/>
            </w:tcMar>
            <w:vAlign w:val="center"/>
          </w:tcPr>
          <w:p>
            <w:pPr>
              <w:widowControl/>
              <w:spacing w:line="300" w:lineRule="exact"/>
              <w:jc w:val="center"/>
              <w:textAlignment w:val="top"/>
              <w:rPr>
                <w:rFonts w:cs="宋体" w:asciiTheme="majorEastAsia" w:hAnsiTheme="majorEastAsia" w:eastAsiaTheme="majorEastAsia"/>
                <w:color w:val="000000"/>
                <w:sz w:val="24"/>
                <w:szCs w:val="24"/>
              </w:rPr>
            </w:pPr>
            <w:r>
              <w:rPr>
                <w:rFonts w:hint="eastAsia" w:cs="宋体" w:asciiTheme="majorEastAsia" w:hAnsiTheme="majorEastAsia" w:eastAsiaTheme="majorEastAsia"/>
                <w:color w:val="000000"/>
                <w:kern w:val="0"/>
                <w:sz w:val="24"/>
                <w:szCs w:val="24"/>
              </w:rPr>
              <w:t>小苗(0.5cm&lt;d&gt;0.2cm)</w:t>
            </w:r>
          </w:p>
        </w:tc>
        <w:tc>
          <w:tcPr>
            <w:tcW w:w="755" w:type="dxa"/>
            <w:tcBorders>
              <w:tl2br w:val="nil"/>
              <w:tr2bl w:val="nil"/>
            </w:tcBorders>
            <w:shd w:val="clear" w:color="auto" w:fill="auto"/>
            <w:tcMar>
              <w:top w:w="15" w:type="dxa"/>
              <w:left w:w="15" w:type="dxa"/>
              <w:right w:w="15" w:type="dxa"/>
            </w:tcMar>
            <w:vAlign w:val="center"/>
          </w:tcPr>
          <w:p>
            <w:pPr>
              <w:widowControl/>
              <w:spacing w:line="440" w:lineRule="exact"/>
              <w:ind w:firstLine="240" w:firstLineChars="100"/>
              <w:jc w:val="right"/>
              <w:textAlignment w:val="top"/>
              <w:rPr>
                <w:rFonts w:cs="宋体" w:asciiTheme="majorEastAsia" w:hAnsiTheme="majorEastAsia" w:eastAsiaTheme="majorEastAsia"/>
                <w:color w:val="000000"/>
                <w:kern w:val="0"/>
                <w:sz w:val="24"/>
                <w:szCs w:val="24"/>
              </w:rPr>
            </w:pPr>
            <w:r>
              <w:rPr>
                <w:rFonts w:hint="eastAsia" w:cs="宋体" w:asciiTheme="majorEastAsia" w:hAnsiTheme="majorEastAsia" w:eastAsiaTheme="majorEastAsia"/>
                <w:color w:val="000000"/>
                <w:kern w:val="0"/>
                <w:sz w:val="24"/>
                <w:szCs w:val="24"/>
              </w:rPr>
              <w:t>95.3</w:t>
            </w:r>
          </w:p>
        </w:tc>
        <w:tc>
          <w:tcPr>
            <w:tcW w:w="547" w:type="dxa"/>
            <w:tcBorders>
              <w:tl2br w:val="nil"/>
              <w:tr2bl w:val="nil"/>
            </w:tcBorders>
            <w:shd w:val="clear" w:color="auto" w:fill="auto"/>
            <w:noWrap/>
            <w:tcMar>
              <w:top w:w="15" w:type="dxa"/>
              <w:left w:w="15" w:type="dxa"/>
              <w:right w:w="15" w:type="dxa"/>
            </w:tcMar>
            <w:vAlign w:val="center"/>
          </w:tcPr>
          <w:p>
            <w:pPr>
              <w:widowControl/>
              <w:spacing w:line="440" w:lineRule="exact"/>
              <w:textAlignment w:val="center"/>
              <w:rPr>
                <w:rFonts w:cs="宋体" w:asciiTheme="majorEastAsia" w:hAnsiTheme="majorEastAsia" w:eastAsiaTheme="majorEastAsia"/>
                <w:color w:val="000000"/>
                <w:kern w:val="0"/>
                <w:sz w:val="24"/>
                <w:szCs w:val="24"/>
              </w:rPr>
            </w:pPr>
            <w:r>
              <w:rPr>
                <w:rFonts w:hint="eastAsia" w:cs="宋体" w:asciiTheme="majorEastAsia" w:hAnsiTheme="majorEastAsia" w:eastAsiaTheme="majorEastAsia"/>
                <w:color w:val="000000"/>
                <w:kern w:val="0"/>
                <w:sz w:val="24"/>
                <w:szCs w:val="24"/>
              </w:rPr>
              <w:t>aA</w:t>
            </w:r>
          </w:p>
        </w:tc>
        <w:tc>
          <w:tcPr>
            <w:tcW w:w="645" w:type="dxa"/>
            <w:tcBorders>
              <w:tl2br w:val="nil"/>
              <w:tr2bl w:val="nil"/>
            </w:tcBorders>
            <w:shd w:val="clear" w:color="auto" w:fill="auto"/>
            <w:tcMar>
              <w:top w:w="15" w:type="dxa"/>
              <w:left w:w="15" w:type="dxa"/>
              <w:right w:w="15" w:type="dxa"/>
            </w:tcMar>
            <w:vAlign w:val="center"/>
          </w:tcPr>
          <w:p>
            <w:pPr>
              <w:widowControl/>
              <w:spacing w:line="440" w:lineRule="exact"/>
              <w:ind w:right="105"/>
              <w:jc w:val="right"/>
              <w:textAlignment w:val="top"/>
              <w:rPr>
                <w:rFonts w:cs="宋体" w:asciiTheme="majorEastAsia" w:hAnsiTheme="majorEastAsia" w:eastAsiaTheme="majorEastAsia"/>
                <w:color w:val="000000"/>
                <w:kern w:val="0"/>
                <w:sz w:val="24"/>
                <w:szCs w:val="24"/>
              </w:rPr>
            </w:pPr>
            <w:r>
              <w:rPr>
                <w:rFonts w:hint="eastAsia" w:cs="宋体" w:asciiTheme="majorEastAsia" w:hAnsiTheme="majorEastAsia" w:eastAsiaTheme="majorEastAsia"/>
                <w:color w:val="000000"/>
                <w:kern w:val="0"/>
                <w:sz w:val="24"/>
                <w:szCs w:val="24"/>
              </w:rPr>
              <w:t>15.7</w:t>
            </w:r>
          </w:p>
        </w:tc>
        <w:tc>
          <w:tcPr>
            <w:tcW w:w="283" w:type="dxa"/>
            <w:tcBorders>
              <w:tl2br w:val="nil"/>
              <w:tr2bl w:val="nil"/>
            </w:tcBorders>
            <w:shd w:val="clear" w:color="auto" w:fill="auto"/>
            <w:tcMar>
              <w:top w:w="15" w:type="dxa"/>
              <w:left w:w="15" w:type="dxa"/>
              <w:right w:w="15" w:type="dxa"/>
            </w:tcMar>
            <w:vAlign w:val="center"/>
          </w:tcPr>
          <w:p>
            <w:pPr>
              <w:widowControl/>
              <w:spacing w:line="440" w:lineRule="exact"/>
              <w:textAlignment w:val="top"/>
              <w:rPr>
                <w:rFonts w:cs="宋体" w:asciiTheme="majorEastAsia" w:hAnsiTheme="majorEastAsia" w:eastAsiaTheme="majorEastAsia"/>
                <w:color w:val="000000"/>
                <w:kern w:val="0"/>
                <w:sz w:val="24"/>
                <w:szCs w:val="24"/>
              </w:rPr>
            </w:pPr>
            <w:r>
              <w:rPr>
                <w:rFonts w:hint="eastAsia" w:cs="宋体" w:asciiTheme="majorEastAsia" w:hAnsiTheme="majorEastAsia" w:eastAsiaTheme="majorEastAsia"/>
                <w:color w:val="000000"/>
                <w:kern w:val="0"/>
                <w:sz w:val="24"/>
                <w:szCs w:val="24"/>
              </w:rPr>
              <w:t>cC</w:t>
            </w:r>
          </w:p>
        </w:tc>
        <w:tc>
          <w:tcPr>
            <w:tcW w:w="534" w:type="dxa"/>
            <w:tcBorders>
              <w:tl2br w:val="nil"/>
              <w:tr2bl w:val="nil"/>
            </w:tcBorders>
            <w:shd w:val="clear" w:color="auto" w:fill="auto"/>
            <w:tcMar>
              <w:top w:w="15" w:type="dxa"/>
              <w:left w:w="15" w:type="dxa"/>
              <w:right w:w="15" w:type="dxa"/>
            </w:tcMar>
            <w:vAlign w:val="center"/>
          </w:tcPr>
          <w:p>
            <w:pPr>
              <w:widowControl/>
              <w:spacing w:line="440" w:lineRule="exact"/>
              <w:jc w:val="right"/>
              <w:textAlignment w:val="top"/>
              <w:rPr>
                <w:rFonts w:cs="宋体" w:asciiTheme="majorEastAsia" w:hAnsiTheme="majorEastAsia" w:eastAsiaTheme="majorEastAsia"/>
                <w:color w:val="000000"/>
                <w:kern w:val="0"/>
                <w:sz w:val="24"/>
                <w:szCs w:val="24"/>
              </w:rPr>
            </w:pPr>
            <w:r>
              <w:rPr>
                <w:rFonts w:hint="eastAsia" w:cs="宋体" w:asciiTheme="majorEastAsia" w:hAnsiTheme="majorEastAsia" w:eastAsiaTheme="majorEastAsia"/>
                <w:color w:val="000000"/>
                <w:kern w:val="0"/>
                <w:sz w:val="24"/>
                <w:szCs w:val="24"/>
              </w:rPr>
              <w:t>24.1</w:t>
            </w:r>
          </w:p>
        </w:tc>
        <w:tc>
          <w:tcPr>
            <w:tcW w:w="549" w:type="dxa"/>
            <w:tcBorders>
              <w:tl2br w:val="nil"/>
              <w:tr2bl w:val="nil"/>
            </w:tcBorders>
            <w:shd w:val="clear" w:color="auto" w:fill="auto"/>
            <w:noWrap/>
            <w:tcMar>
              <w:top w:w="15" w:type="dxa"/>
              <w:left w:w="15" w:type="dxa"/>
              <w:right w:w="15" w:type="dxa"/>
            </w:tcMar>
            <w:vAlign w:val="center"/>
          </w:tcPr>
          <w:p>
            <w:pPr>
              <w:widowControl/>
              <w:spacing w:line="440" w:lineRule="exact"/>
              <w:textAlignment w:val="top"/>
              <w:rPr>
                <w:rFonts w:cs="宋体" w:asciiTheme="majorEastAsia" w:hAnsiTheme="majorEastAsia" w:eastAsiaTheme="majorEastAsia"/>
                <w:color w:val="000000"/>
                <w:kern w:val="0"/>
                <w:sz w:val="24"/>
                <w:szCs w:val="24"/>
              </w:rPr>
            </w:pPr>
            <w:r>
              <w:rPr>
                <w:rFonts w:hint="eastAsia" w:cs="宋体" w:asciiTheme="majorEastAsia" w:hAnsiTheme="majorEastAsia" w:eastAsiaTheme="majorEastAsia"/>
                <w:color w:val="000000"/>
                <w:kern w:val="0"/>
                <w:sz w:val="24"/>
                <w:szCs w:val="24"/>
              </w:rPr>
              <w:t>aA</w:t>
            </w:r>
          </w:p>
        </w:tc>
        <w:tc>
          <w:tcPr>
            <w:tcW w:w="660" w:type="dxa"/>
            <w:tcBorders>
              <w:tl2br w:val="nil"/>
              <w:tr2bl w:val="nil"/>
            </w:tcBorders>
            <w:shd w:val="clear" w:color="auto" w:fill="auto"/>
            <w:tcMar>
              <w:top w:w="15" w:type="dxa"/>
              <w:left w:w="15" w:type="dxa"/>
              <w:right w:w="15" w:type="dxa"/>
            </w:tcMar>
            <w:vAlign w:val="center"/>
          </w:tcPr>
          <w:p>
            <w:pPr>
              <w:widowControl/>
              <w:spacing w:line="440" w:lineRule="exact"/>
              <w:jc w:val="right"/>
              <w:textAlignment w:val="top"/>
              <w:rPr>
                <w:rFonts w:cs="宋体" w:asciiTheme="majorEastAsia" w:hAnsiTheme="majorEastAsia" w:eastAsiaTheme="majorEastAsia"/>
                <w:color w:val="000000"/>
                <w:kern w:val="0"/>
                <w:sz w:val="24"/>
                <w:szCs w:val="24"/>
              </w:rPr>
            </w:pPr>
            <w:r>
              <w:rPr>
                <w:rFonts w:hint="eastAsia" w:cs="宋体" w:asciiTheme="majorEastAsia" w:hAnsiTheme="majorEastAsia" w:eastAsiaTheme="majorEastAsia"/>
                <w:color w:val="000000"/>
                <w:kern w:val="0"/>
                <w:sz w:val="24"/>
                <w:szCs w:val="24"/>
              </w:rPr>
              <w:t>139.2</w:t>
            </w:r>
          </w:p>
        </w:tc>
        <w:tc>
          <w:tcPr>
            <w:tcW w:w="548" w:type="dxa"/>
            <w:tcBorders>
              <w:tl2br w:val="nil"/>
              <w:tr2bl w:val="nil"/>
            </w:tcBorders>
            <w:shd w:val="clear" w:color="auto" w:fill="auto"/>
            <w:noWrap/>
            <w:tcMar>
              <w:top w:w="15" w:type="dxa"/>
              <w:left w:w="15" w:type="dxa"/>
              <w:right w:w="15" w:type="dxa"/>
            </w:tcMar>
            <w:vAlign w:val="center"/>
          </w:tcPr>
          <w:p>
            <w:pPr>
              <w:widowControl/>
              <w:spacing w:line="440" w:lineRule="exact"/>
              <w:jc w:val="left"/>
              <w:textAlignment w:val="top"/>
              <w:rPr>
                <w:rFonts w:cs="宋体" w:asciiTheme="majorEastAsia" w:hAnsiTheme="majorEastAsia" w:eastAsiaTheme="majorEastAsia"/>
                <w:color w:val="000000"/>
                <w:kern w:val="0"/>
                <w:sz w:val="24"/>
                <w:szCs w:val="24"/>
              </w:rPr>
            </w:pPr>
            <w:r>
              <w:rPr>
                <w:rFonts w:hint="eastAsia" w:cs="宋体" w:asciiTheme="majorEastAsia" w:hAnsiTheme="majorEastAsia" w:eastAsiaTheme="majorEastAsia"/>
                <w:color w:val="000000"/>
                <w:kern w:val="0"/>
                <w:sz w:val="24"/>
                <w:szCs w:val="24"/>
              </w:rPr>
              <w:t>aA</w:t>
            </w:r>
          </w:p>
        </w:tc>
        <w:tc>
          <w:tcPr>
            <w:tcW w:w="409" w:type="dxa"/>
            <w:tcBorders>
              <w:tl2br w:val="nil"/>
              <w:tr2bl w:val="nil"/>
            </w:tcBorders>
            <w:shd w:val="clear" w:color="auto" w:fill="auto"/>
            <w:tcMar>
              <w:top w:w="15" w:type="dxa"/>
              <w:left w:w="15" w:type="dxa"/>
              <w:right w:w="15" w:type="dxa"/>
            </w:tcMar>
            <w:vAlign w:val="center"/>
          </w:tcPr>
          <w:p>
            <w:pPr>
              <w:widowControl/>
              <w:spacing w:line="440" w:lineRule="exact"/>
              <w:jc w:val="right"/>
              <w:textAlignment w:val="top"/>
              <w:rPr>
                <w:rFonts w:cs="宋体" w:asciiTheme="majorEastAsia" w:hAnsiTheme="majorEastAsia" w:eastAsiaTheme="majorEastAsia"/>
                <w:color w:val="000000"/>
                <w:kern w:val="0"/>
                <w:sz w:val="24"/>
                <w:szCs w:val="24"/>
              </w:rPr>
            </w:pPr>
            <w:r>
              <w:rPr>
                <w:rFonts w:hint="eastAsia" w:cs="宋体" w:asciiTheme="majorEastAsia" w:hAnsiTheme="majorEastAsia" w:eastAsiaTheme="majorEastAsia"/>
                <w:color w:val="000000"/>
                <w:kern w:val="0"/>
                <w:sz w:val="24"/>
                <w:szCs w:val="24"/>
              </w:rPr>
              <w:t>4.2</w:t>
            </w:r>
          </w:p>
        </w:tc>
        <w:tc>
          <w:tcPr>
            <w:tcW w:w="548" w:type="dxa"/>
            <w:tcBorders>
              <w:tl2br w:val="nil"/>
              <w:tr2bl w:val="nil"/>
            </w:tcBorders>
            <w:shd w:val="clear" w:color="auto" w:fill="auto"/>
            <w:noWrap/>
            <w:tcMar>
              <w:top w:w="15" w:type="dxa"/>
              <w:left w:w="15" w:type="dxa"/>
              <w:right w:w="15" w:type="dxa"/>
            </w:tcMar>
            <w:vAlign w:val="center"/>
          </w:tcPr>
          <w:p>
            <w:pPr>
              <w:widowControl/>
              <w:spacing w:line="440" w:lineRule="exact"/>
              <w:jc w:val="left"/>
              <w:textAlignment w:val="top"/>
              <w:rPr>
                <w:rFonts w:cs="宋体" w:asciiTheme="majorEastAsia" w:hAnsiTheme="majorEastAsia" w:eastAsiaTheme="majorEastAsia"/>
                <w:color w:val="000000"/>
                <w:kern w:val="0"/>
                <w:sz w:val="24"/>
                <w:szCs w:val="24"/>
              </w:rPr>
            </w:pPr>
            <w:r>
              <w:rPr>
                <w:rFonts w:hint="eastAsia" w:cs="宋体" w:asciiTheme="majorEastAsia" w:hAnsiTheme="majorEastAsia" w:eastAsiaTheme="majorEastAsia"/>
                <w:color w:val="000000"/>
                <w:kern w:val="0"/>
                <w:sz w:val="24"/>
                <w:szCs w:val="24"/>
              </w:rPr>
              <w:t>aA</w:t>
            </w:r>
          </w:p>
        </w:tc>
        <w:tc>
          <w:tcPr>
            <w:tcW w:w="409" w:type="dxa"/>
            <w:tcBorders>
              <w:tl2br w:val="nil"/>
              <w:tr2bl w:val="nil"/>
            </w:tcBorders>
            <w:shd w:val="clear" w:color="auto" w:fill="auto"/>
            <w:tcMar>
              <w:top w:w="15" w:type="dxa"/>
              <w:left w:w="15" w:type="dxa"/>
              <w:right w:w="15" w:type="dxa"/>
            </w:tcMar>
            <w:vAlign w:val="center"/>
          </w:tcPr>
          <w:p>
            <w:pPr>
              <w:widowControl/>
              <w:spacing w:line="440" w:lineRule="exact"/>
              <w:jc w:val="right"/>
              <w:textAlignment w:val="top"/>
              <w:rPr>
                <w:rFonts w:cs="宋体" w:asciiTheme="majorEastAsia" w:hAnsiTheme="majorEastAsia" w:eastAsiaTheme="majorEastAsia"/>
                <w:color w:val="000000"/>
                <w:kern w:val="0"/>
                <w:sz w:val="24"/>
                <w:szCs w:val="24"/>
              </w:rPr>
            </w:pPr>
            <w:r>
              <w:rPr>
                <w:rFonts w:hint="eastAsia" w:cs="宋体" w:asciiTheme="majorEastAsia" w:hAnsiTheme="majorEastAsia" w:eastAsiaTheme="majorEastAsia"/>
                <w:color w:val="000000"/>
                <w:kern w:val="0"/>
                <w:sz w:val="24"/>
                <w:szCs w:val="24"/>
              </w:rPr>
              <w:t>4.3</w:t>
            </w:r>
          </w:p>
        </w:tc>
        <w:tc>
          <w:tcPr>
            <w:tcW w:w="548" w:type="dxa"/>
            <w:tcBorders>
              <w:tl2br w:val="nil"/>
              <w:tr2bl w:val="nil"/>
            </w:tcBorders>
            <w:shd w:val="clear" w:color="auto" w:fill="auto"/>
            <w:noWrap/>
            <w:tcMar>
              <w:top w:w="15" w:type="dxa"/>
              <w:left w:w="15" w:type="dxa"/>
              <w:right w:w="15" w:type="dxa"/>
            </w:tcMar>
            <w:vAlign w:val="center"/>
          </w:tcPr>
          <w:p>
            <w:pPr>
              <w:widowControl/>
              <w:spacing w:line="440" w:lineRule="exact"/>
              <w:jc w:val="left"/>
              <w:textAlignment w:val="top"/>
              <w:rPr>
                <w:rFonts w:cs="宋体" w:asciiTheme="majorEastAsia" w:hAnsiTheme="majorEastAsia" w:eastAsiaTheme="majorEastAsia"/>
                <w:color w:val="000000"/>
                <w:kern w:val="0"/>
                <w:sz w:val="24"/>
                <w:szCs w:val="24"/>
              </w:rPr>
            </w:pPr>
            <w:r>
              <w:rPr>
                <w:rFonts w:hint="eastAsia" w:cs="宋体" w:asciiTheme="majorEastAsia" w:hAnsiTheme="majorEastAsia" w:eastAsiaTheme="majorEastAsia"/>
                <w:color w:val="000000"/>
                <w:kern w:val="0"/>
                <w:sz w:val="24"/>
                <w:szCs w:val="24"/>
              </w:rPr>
              <w:t>aA</w:t>
            </w:r>
          </w:p>
        </w:tc>
        <w:tc>
          <w:tcPr>
            <w:tcW w:w="791" w:type="dxa"/>
            <w:tcBorders>
              <w:tl2br w:val="nil"/>
              <w:tr2bl w:val="nil"/>
            </w:tcBorders>
            <w:shd w:val="clear" w:color="auto" w:fill="auto"/>
            <w:tcMar>
              <w:top w:w="15" w:type="dxa"/>
              <w:left w:w="15" w:type="dxa"/>
              <w:right w:w="15" w:type="dxa"/>
            </w:tcMar>
            <w:vAlign w:val="center"/>
          </w:tcPr>
          <w:p>
            <w:pPr>
              <w:widowControl/>
              <w:spacing w:line="440" w:lineRule="exact"/>
              <w:ind w:right="5"/>
              <w:jc w:val="right"/>
              <w:textAlignment w:val="top"/>
              <w:rPr>
                <w:rFonts w:cs="宋体" w:asciiTheme="majorEastAsia" w:hAnsiTheme="majorEastAsia" w:eastAsiaTheme="majorEastAsia"/>
                <w:color w:val="000000"/>
                <w:kern w:val="0"/>
                <w:sz w:val="24"/>
                <w:szCs w:val="24"/>
              </w:rPr>
            </w:pPr>
            <w:r>
              <w:rPr>
                <w:rFonts w:hint="eastAsia" w:ascii="宋体" w:hAnsi="宋体" w:eastAsia="宋体" w:cs="宋体"/>
                <w:color w:val="000000"/>
                <w:kern w:val="0"/>
                <w:sz w:val="24"/>
                <w:szCs w:val="24"/>
              </w:rPr>
              <w:t>1137.6</w:t>
            </w:r>
          </w:p>
        </w:tc>
        <w:tc>
          <w:tcPr>
            <w:tcW w:w="551" w:type="dxa"/>
            <w:tcBorders>
              <w:tl2br w:val="nil"/>
              <w:tr2bl w:val="nil"/>
            </w:tcBorders>
            <w:shd w:val="clear" w:color="auto" w:fill="auto"/>
            <w:noWrap/>
            <w:tcMar>
              <w:top w:w="15" w:type="dxa"/>
              <w:left w:w="15" w:type="dxa"/>
              <w:right w:w="15" w:type="dxa"/>
            </w:tcMar>
            <w:vAlign w:val="center"/>
          </w:tcPr>
          <w:p>
            <w:pPr>
              <w:widowControl/>
              <w:spacing w:line="440" w:lineRule="exact"/>
              <w:ind w:right="5"/>
              <w:textAlignment w:val="top"/>
              <w:rPr>
                <w:rFonts w:ascii="宋体" w:hAnsi="宋体" w:eastAsia="宋体" w:cs="宋体"/>
                <w:color w:val="000000"/>
                <w:kern w:val="0"/>
                <w:sz w:val="24"/>
                <w:szCs w:val="24"/>
              </w:rPr>
            </w:pPr>
            <w:r>
              <w:rPr>
                <w:rFonts w:hint="eastAsia" w:cs="宋体" w:asciiTheme="majorEastAsia" w:hAnsiTheme="majorEastAsia" w:eastAsiaTheme="majorEastAsia"/>
                <w:color w:val="000000"/>
                <w:kern w:val="0"/>
                <w:sz w:val="24"/>
                <w:szCs w:val="24"/>
              </w:rPr>
              <w:t>aA</w:t>
            </w:r>
          </w:p>
        </w:tc>
      </w:tr>
      <w:tr>
        <w:tblPrEx>
          <w:tblBorders>
            <w:top w:val="single" w:color="000000" w:sz="18" w:space="0"/>
            <w:left w:val="none" w:color="auto" w:sz="0" w:space="0"/>
            <w:bottom w:val="single" w:color="000000" w:sz="18" w:space="0"/>
            <w:right w:val="none" w:color="auto" w:sz="0" w:space="0"/>
            <w:insideH w:val="none" w:color="auto" w:sz="0" w:space="0"/>
            <w:insideV w:val="none" w:color="auto" w:sz="0" w:space="0"/>
          </w:tblBorders>
          <w:tblCellMar>
            <w:top w:w="0" w:type="dxa"/>
            <w:left w:w="0" w:type="dxa"/>
            <w:bottom w:w="0" w:type="dxa"/>
            <w:right w:w="0" w:type="dxa"/>
          </w:tblCellMar>
        </w:tblPrEx>
        <w:trPr>
          <w:trHeight w:val="813" w:hRule="exact"/>
          <w:jc w:val="center"/>
        </w:trPr>
        <w:tc>
          <w:tcPr>
            <w:tcW w:w="1919" w:type="dxa"/>
            <w:tcBorders>
              <w:tl2br w:val="nil"/>
              <w:tr2bl w:val="nil"/>
            </w:tcBorders>
            <w:shd w:val="clear" w:color="auto" w:fill="auto"/>
            <w:tcMar>
              <w:top w:w="15" w:type="dxa"/>
              <w:left w:w="15" w:type="dxa"/>
              <w:right w:w="15" w:type="dxa"/>
            </w:tcMar>
            <w:vAlign w:val="center"/>
          </w:tcPr>
          <w:p>
            <w:pPr>
              <w:widowControl/>
              <w:spacing w:line="300" w:lineRule="exact"/>
              <w:jc w:val="center"/>
              <w:textAlignment w:val="top"/>
              <w:rPr>
                <w:rFonts w:cs="宋体" w:asciiTheme="majorEastAsia" w:hAnsiTheme="majorEastAsia" w:eastAsiaTheme="majorEastAsia"/>
                <w:color w:val="000000"/>
                <w:sz w:val="24"/>
                <w:szCs w:val="24"/>
              </w:rPr>
            </w:pPr>
            <w:r>
              <w:rPr>
                <w:rFonts w:hint="eastAsia" w:cs="宋体" w:asciiTheme="majorEastAsia" w:hAnsiTheme="majorEastAsia" w:eastAsiaTheme="majorEastAsia"/>
                <w:color w:val="000000"/>
                <w:kern w:val="0"/>
                <w:sz w:val="24"/>
                <w:szCs w:val="24"/>
              </w:rPr>
              <w:t>中苗(0.8cm&lt;d&gt;0.5cm)</w:t>
            </w:r>
          </w:p>
        </w:tc>
        <w:tc>
          <w:tcPr>
            <w:tcW w:w="755" w:type="dxa"/>
            <w:tcBorders>
              <w:tl2br w:val="nil"/>
              <w:tr2bl w:val="nil"/>
            </w:tcBorders>
            <w:shd w:val="clear" w:color="auto" w:fill="auto"/>
            <w:tcMar>
              <w:top w:w="15" w:type="dxa"/>
              <w:left w:w="15" w:type="dxa"/>
              <w:right w:w="15" w:type="dxa"/>
            </w:tcMar>
            <w:vAlign w:val="center"/>
          </w:tcPr>
          <w:p>
            <w:pPr>
              <w:widowControl/>
              <w:spacing w:line="440" w:lineRule="exact"/>
              <w:ind w:firstLine="240" w:firstLineChars="100"/>
              <w:jc w:val="right"/>
              <w:textAlignment w:val="top"/>
              <w:rPr>
                <w:rFonts w:cs="宋体" w:asciiTheme="majorEastAsia" w:hAnsiTheme="majorEastAsia" w:eastAsiaTheme="majorEastAsia"/>
                <w:color w:val="000000"/>
                <w:kern w:val="0"/>
                <w:sz w:val="24"/>
                <w:szCs w:val="24"/>
              </w:rPr>
            </w:pPr>
            <w:r>
              <w:rPr>
                <w:rFonts w:hint="eastAsia" w:cs="宋体" w:asciiTheme="majorEastAsia" w:hAnsiTheme="majorEastAsia" w:eastAsiaTheme="majorEastAsia"/>
                <w:color w:val="000000"/>
                <w:kern w:val="0"/>
                <w:sz w:val="24"/>
                <w:szCs w:val="24"/>
              </w:rPr>
              <w:t>95.9</w:t>
            </w:r>
          </w:p>
        </w:tc>
        <w:tc>
          <w:tcPr>
            <w:tcW w:w="547" w:type="dxa"/>
            <w:tcBorders>
              <w:tl2br w:val="nil"/>
              <w:tr2bl w:val="nil"/>
            </w:tcBorders>
            <w:shd w:val="clear" w:color="auto" w:fill="auto"/>
            <w:noWrap/>
            <w:tcMar>
              <w:top w:w="15" w:type="dxa"/>
              <w:left w:w="15" w:type="dxa"/>
              <w:right w:w="15" w:type="dxa"/>
            </w:tcMar>
            <w:vAlign w:val="center"/>
          </w:tcPr>
          <w:p>
            <w:pPr>
              <w:widowControl/>
              <w:spacing w:line="440" w:lineRule="exact"/>
              <w:textAlignment w:val="center"/>
              <w:rPr>
                <w:rFonts w:cs="宋体" w:asciiTheme="majorEastAsia" w:hAnsiTheme="majorEastAsia" w:eastAsiaTheme="majorEastAsia"/>
                <w:color w:val="000000"/>
                <w:kern w:val="0"/>
                <w:sz w:val="24"/>
                <w:szCs w:val="24"/>
              </w:rPr>
            </w:pPr>
            <w:r>
              <w:rPr>
                <w:rFonts w:hint="eastAsia" w:cs="宋体" w:asciiTheme="majorEastAsia" w:hAnsiTheme="majorEastAsia" w:eastAsiaTheme="majorEastAsia"/>
                <w:color w:val="000000"/>
                <w:kern w:val="0"/>
                <w:sz w:val="24"/>
                <w:szCs w:val="24"/>
              </w:rPr>
              <w:t>aA</w:t>
            </w:r>
          </w:p>
        </w:tc>
        <w:tc>
          <w:tcPr>
            <w:tcW w:w="645" w:type="dxa"/>
            <w:tcBorders>
              <w:tl2br w:val="nil"/>
              <w:tr2bl w:val="nil"/>
            </w:tcBorders>
            <w:shd w:val="clear" w:color="auto" w:fill="auto"/>
            <w:tcMar>
              <w:top w:w="15" w:type="dxa"/>
              <w:left w:w="15" w:type="dxa"/>
              <w:right w:w="15" w:type="dxa"/>
            </w:tcMar>
            <w:vAlign w:val="center"/>
          </w:tcPr>
          <w:p>
            <w:pPr>
              <w:widowControl/>
              <w:spacing w:line="440" w:lineRule="exact"/>
              <w:ind w:right="105"/>
              <w:jc w:val="right"/>
              <w:textAlignment w:val="top"/>
              <w:rPr>
                <w:rFonts w:cs="宋体" w:asciiTheme="majorEastAsia" w:hAnsiTheme="majorEastAsia" w:eastAsiaTheme="majorEastAsia"/>
                <w:color w:val="000000"/>
                <w:kern w:val="0"/>
                <w:sz w:val="24"/>
                <w:szCs w:val="24"/>
              </w:rPr>
            </w:pPr>
            <w:r>
              <w:rPr>
                <w:rFonts w:hint="eastAsia" w:cs="宋体" w:asciiTheme="majorEastAsia" w:hAnsiTheme="majorEastAsia" w:eastAsiaTheme="majorEastAsia"/>
                <w:color w:val="000000"/>
                <w:kern w:val="0"/>
                <w:sz w:val="24"/>
                <w:szCs w:val="24"/>
              </w:rPr>
              <w:t>45.5</w:t>
            </w:r>
          </w:p>
        </w:tc>
        <w:tc>
          <w:tcPr>
            <w:tcW w:w="283" w:type="dxa"/>
            <w:tcBorders>
              <w:tl2br w:val="nil"/>
              <w:tr2bl w:val="nil"/>
            </w:tcBorders>
            <w:shd w:val="clear" w:color="auto" w:fill="auto"/>
            <w:tcMar>
              <w:top w:w="15" w:type="dxa"/>
              <w:left w:w="15" w:type="dxa"/>
              <w:right w:w="15" w:type="dxa"/>
            </w:tcMar>
            <w:vAlign w:val="center"/>
          </w:tcPr>
          <w:p>
            <w:pPr>
              <w:widowControl/>
              <w:spacing w:line="440" w:lineRule="exact"/>
              <w:textAlignment w:val="top"/>
              <w:rPr>
                <w:rFonts w:cs="宋体" w:asciiTheme="majorEastAsia" w:hAnsiTheme="majorEastAsia" w:eastAsiaTheme="majorEastAsia"/>
                <w:color w:val="000000"/>
                <w:kern w:val="0"/>
                <w:sz w:val="24"/>
                <w:szCs w:val="24"/>
              </w:rPr>
            </w:pPr>
            <w:r>
              <w:rPr>
                <w:rFonts w:hint="eastAsia" w:cs="宋体" w:asciiTheme="majorEastAsia" w:hAnsiTheme="majorEastAsia" w:eastAsiaTheme="majorEastAsia"/>
                <w:color w:val="000000"/>
                <w:kern w:val="0"/>
                <w:sz w:val="24"/>
                <w:szCs w:val="24"/>
              </w:rPr>
              <w:t>bB</w:t>
            </w:r>
          </w:p>
        </w:tc>
        <w:tc>
          <w:tcPr>
            <w:tcW w:w="534" w:type="dxa"/>
            <w:tcBorders>
              <w:tl2br w:val="nil"/>
              <w:tr2bl w:val="nil"/>
            </w:tcBorders>
            <w:shd w:val="clear" w:color="auto" w:fill="auto"/>
            <w:tcMar>
              <w:top w:w="15" w:type="dxa"/>
              <w:left w:w="15" w:type="dxa"/>
              <w:right w:w="15" w:type="dxa"/>
            </w:tcMar>
            <w:vAlign w:val="center"/>
          </w:tcPr>
          <w:p>
            <w:pPr>
              <w:widowControl/>
              <w:spacing w:line="440" w:lineRule="exact"/>
              <w:jc w:val="right"/>
              <w:textAlignment w:val="top"/>
              <w:rPr>
                <w:rFonts w:cs="宋体" w:asciiTheme="majorEastAsia" w:hAnsiTheme="majorEastAsia" w:eastAsiaTheme="majorEastAsia"/>
                <w:color w:val="000000"/>
                <w:kern w:val="0"/>
                <w:sz w:val="24"/>
                <w:szCs w:val="24"/>
              </w:rPr>
            </w:pPr>
            <w:r>
              <w:rPr>
                <w:rFonts w:hint="eastAsia" w:cs="宋体" w:asciiTheme="majorEastAsia" w:hAnsiTheme="majorEastAsia" w:eastAsiaTheme="majorEastAsia"/>
                <w:color w:val="000000"/>
                <w:kern w:val="0"/>
                <w:sz w:val="24"/>
                <w:szCs w:val="24"/>
              </w:rPr>
              <w:t>24.3</w:t>
            </w:r>
          </w:p>
        </w:tc>
        <w:tc>
          <w:tcPr>
            <w:tcW w:w="549" w:type="dxa"/>
            <w:tcBorders>
              <w:tl2br w:val="nil"/>
              <w:tr2bl w:val="nil"/>
            </w:tcBorders>
            <w:shd w:val="clear" w:color="auto" w:fill="auto"/>
            <w:noWrap/>
            <w:tcMar>
              <w:top w:w="15" w:type="dxa"/>
              <w:left w:w="15" w:type="dxa"/>
              <w:right w:w="15" w:type="dxa"/>
            </w:tcMar>
            <w:vAlign w:val="center"/>
          </w:tcPr>
          <w:p>
            <w:pPr>
              <w:widowControl/>
              <w:spacing w:line="440" w:lineRule="exact"/>
              <w:textAlignment w:val="top"/>
              <w:rPr>
                <w:rFonts w:cs="宋体" w:asciiTheme="majorEastAsia" w:hAnsiTheme="majorEastAsia" w:eastAsiaTheme="majorEastAsia"/>
                <w:color w:val="000000"/>
                <w:kern w:val="0"/>
                <w:sz w:val="24"/>
                <w:szCs w:val="24"/>
              </w:rPr>
            </w:pPr>
            <w:r>
              <w:rPr>
                <w:rFonts w:hint="eastAsia" w:cs="宋体" w:asciiTheme="majorEastAsia" w:hAnsiTheme="majorEastAsia" w:eastAsiaTheme="majorEastAsia"/>
                <w:color w:val="000000"/>
                <w:kern w:val="0"/>
                <w:sz w:val="24"/>
                <w:szCs w:val="24"/>
              </w:rPr>
              <w:t>aA</w:t>
            </w:r>
          </w:p>
        </w:tc>
        <w:tc>
          <w:tcPr>
            <w:tcW w:w="660" w:type="dxa"/>
            <w:tcBorders>
              <w:tl2br w:val="nil"/>
              <w:tr2bl w:val="nil"/>
            </w:tcBorders>
            <w:shd w:val="clear" w:color="auto" w:fill="auto"/>
            <w:tcMar>
              <w:top w:w="15" w:type="dxa"/>
              <w:left w:w="15" w:type="dxa"/>
              <w:right w:w="15" w:type="dxa"/>
            </w:tcMar>
            <w:vAlign w:val="center"/>
          </w:tcPr>
          <w:p>
            <w:pPr>
              <w:widowControl/>
              <w:spacing w:line="440" w:lineRule="exact"/>
              <w:jc w:val="right"/>
              <w:textAlignment w:val="top"/>
              <w:rPr>
                <w:rFonts w:cs="宋体" w:asciiTheme="majorEastAsia" w:hAnsiTheme="majorEastAsia" w:eastAsiaTheme="majorEastAsia"/>
                <w:color w:val="000000"/>
                <w:kern w:val="0"/>
                <w:sz w:val="24"/>
                <w:szCs w:val="24"/>
              </w:rPr>
            </w:pPr>
            <w:r>
              <w:rPr>
                <w:rFonts w:hint="eastAsia" w:cs="宋体" w:asciiTheme="majorEastAsia" w:hAnsiTheme="majorEastAsia" w:eastAsiaTheme="majorEastAsia"/>
                <w:color w:val="000000"/>
                <w:kern w:val="0"/>
                <w:sz w:val="24"/>
                <w:szCs w:val="24"/>
              </w:rPr>
              <w:t>140.6</w:t>
            </w:r>
          </w:p>
        </w:tc>
        <w:tc>
          <w:tcPr>
            <w:tcW w:w="548" w:type="dxa"/>
            <w:tcBorders>
              <w:tl2br w:val="nil"/>
              <w:tr2bl w:val="nil"/>
            </w:tcBorders>
            <w:shd w:val="clear" w:color="auto" w:fill="auto"/>
            <w:noWrap/>
            <w:tcMar>
              <w:top w:w="15" w:type="dxa"/>
              <w:left w:w="15" w:type="dxa"/>
              <w:right w:w="15" w:type="dxa"/>
            </w:tcMar>
            <w:vAlign w:val="center"/>
          </w:tcPr>
          <w:p>
            <w:pPr>
              <w:widowControl/>
              <w:spacing w:line="440" w:lineRule="exact"/>
              <w:jc w:val="left"/>
              <w:textAlignment w:val="top"/>
              <w:rPr>
                <w:rFonts w:cs="宋体" w:asciiTheme="majorEastAsia" w:hAnsiTheme="majorEastAsia" w:eastAsiaTheme="majorEastAsia"/>
                <w:color w:val="000000"/>
                <w:kern w:val="0"/>
                <w:sz w:val="24"/>
                <w:szCs w:val="24"/>
              </w:rPr>
            </w:pPr>
            <w:r>
              <w:rPr>
                <w:rFonts w:hint="eastAsia" w:cs="宋体" w:asciiTheme="majorEastAsia" w:hAnsiTheme="majorEastAsia" w:eastAsiaTheme="majorEastAsia"/>
                <w:color w:val="000000"/>
                <w:kern w:val="0"/>
                <w:sz w:val="24"/>
                <w:szCs w:val="24"/>
              </w:rPr>
              <w:t>aA</w:t>
            </w:r>
          </w:p>
        </w:tc>
        <w:tc>
          <w:tcPr>
            <w:tcW w:w="409" w:type="dxa"/>
            <w:tcBorders>
              <w:tl2br w:val="nil"/>
              <w:tr2bl w:val="nil"/>
            </w:tcBorders>
            <w:shd w:val="clear" w:color="auto" w:fill="auto"/>
            <w:tcMar>
              <w:top w:w="15" w:type="dxa"/>
              <w:left w:w="15" w:type="dxa"/>
              <w:right w:w="15" w:type="dxa"/>
            </w:tcMar>
            <w:vAlign w:val="center"/>
          </w:tcPr>
          <w:p>
            <w:pPr>
              <w:widowControl/>
              <w:spacing w:line="440" w:lineRule="exact"/>
              <w:jc w:val="right"/>
              <w:textAlignment w:val="top"/>
              <w:rPr>
                <w:rFonts w:cs="宋体" w:asciiTheme="majorEastAsia" w:hAnsiTheme="majorEastAsia" w:eastAsiaTheme="majorEastAsia"/>
                <w:color w:val="000000"/>
                <w:kern w:val="0"/>
                <w:sz w:val="24"/>
                <w:szCs w:val="24"/>
              </w:rPr>
            </w:pPr>
            <w:r>
              <w:rPr>
                <w:rFonts w:hint="eastAsia" w:cs="宋体" w:asciiTheme="majorEastAsia" w:hAnsiTheme="majorEastAsia" w:eastAsiaTheme="majorEastAsia"/>
                <w:color w:val="000000"/>
                <w:kern w:val="0"/>
                <w:sz w:val="24"/>
                <w:szCs w:val="24"/>
              </w:rPr>
              <w:t>4.5</w:t>
            </w:r>
          </w:p>
        </w:tc>
        <w:tc>
          <w:tcPr>
            <w:tcW w:w="548" w:type="dxa"/>
            <w:tcBorders>
              <w:tl2br w:val="nil"/>
              <w:tr2bl w:val="nil"/>
            </w:tcBorders>
            <w:shd w:val="clear" w:color="auto" w:fill="auto"/>
            <w:noWrap/>
            <w:tcMar>
              <w:top w:w="15" w:type="dxa"/>
              <w:left w:w="15" w:type="dxa"/>
              <w:right w:w="15" w:type="dxa"/>
            </w:tcMar>
            <w:vAlign w:val="center"/>
          </w:tcPr>
          <w:p>
            <w:pPr>
              <w:widowControl/>
              <w:spacing w:line="440" w:lineRule="exact"/>
              <w:jc w:val="left"/>
              <w:textAlignment w:val="top"/>
              <w:rPr>
                <w:rFonts w:cs="宋体" w:asciiTheme="majorEastAsia" w:hAnsiTheme="majorEastAsia" w:eastAsiaTheme="majorEastAsia"/>
                <w:color w:val="000000"/>
                <w:kern w:val="0"/>
                <w:sz w:val="24"/>
                <w:szCs w:val="24"/>
              </w:rPr>
            </w:pPr>
            <w:r>
              <w:rPr>
                <w:rFonts w:hint="eastAsia" w:cs="宋体" w:asciiTheme="majorEastAsia" w:hAnsiTheme="majorEastAsia" w:eastAsiaTheme="majorEastAsia"/>
                <w:color w:val="000000"/>
                <w:kern w:val="0"/>
                <w:sz w:val="24"/>
                <w:szCs w:val="24"/>
              </w:rPr>
              <w:t>aA</w:t>
            </w:r>
          </w:p>
        </w:tc>
        <w:tc>
          <w:tcPr>
            <w:tcW w:w="409" w:type="dxa"/>
            <w:tcBorders>
              <w:tl2br w:val="nil"/>
              <w:tr2bl w:val="nil"/>
            </w:tcBorders>
            <w:shd w:val="clear" w:color="auto" w:fill="auto"/>
            <w:tcMar>
              <w:top w:w="15" w:type="dxa"/>
              <w:left w:w="15" w:type="dxa"/>
              <w:right w:w="15" w:type="dxa"/>
            </w:tcMar>
            <w:vAlign w:val="center"/>
          </w:tcPr>
          <w:p>
            <w:pPr>
              <w:widowControl/>
              <w:spacing w:line="440" w:lineRule="exact"/>
              <w:jc w:val="right"/>
              <w:textAlignment w:val="top"/>
              <w:rPr>
                <w:rFonts w:cs="宋体" w:asciiTheme="majorEastAsia" w:hAnsiTheme="majorEastAsia" w:eastAsiaTheme="majorEastAsia"/>
                <w:color w:val="000000"/>
                <w:kern w:val="0"/>
                <w:sz w:val="24"/>
                <w:szCs w:val="24"/>
              </w:rPr>
            </w:pPr>
            <w:r>
              <w:rPr>
                <w:rFonts w:hint="eastAsia" w:cs="宋体" w:asciiTheme="majorEastAsia" w:hAnsiTheme="majorEastAsia" w:eastAsiaTheme="majorEastAsia"/>
                <w:color w:val="000000"/>
                <w:kern w:val="0"/>
                <w:sz w:val="24"/>
                <w:szCs w:val="24"/>
              </w:rPr>
              <w:t>4.2</w:t>
            </w:r>
          </w:p>
        </w:tc>
        <w:tc>
          <w:tcPr>
            <w:tcW w:w="548" w:type="dxa"/>
            <w:tcBorders>
              <w:tl2br w:val="nil"/>
              <w:tr2bl w:val="nil"/>
            </w:tcBorders>
            <w:shd w:val="clear" w:color="auto" w:fill="auto"/>
            <w:noWrap/>
            <w:tcMar>
              <w:top w:w="15" w:type="dxa"/>
              <w:left w:w="15" w:type="dxa"/>
              <w:right w:w="15" w:type="dxa"/>
            </w:tcMar>
            <w:vAlign w:val="center"/>
          </w:tcPr>
          <w:p>
            <w:pPr>
              <w:widowControl/>
              <w:spacing w:line="440" w:lineRule="exact"/>
              <w:jc w:val="left"/>
              <w:textAlignment w:val="top"/>
              <w:rPr>
                <w:rFonts w:cs="宋体" w:asciiTheme="majorEastAsia" w:hAnsiTheme="majorEastAsia" w:eastAsiaTheme="majorEastAsia"/>
                <w:color w:val="000000"/>
                <w:kern w:val="0"/>
                <w:sz w:val="24"/>
                <w:szCs w:val="24"/>
              </w:rPr>
            </w:pPr>
            <w:r>
              <w:rPr>
                <w:rFonts w:hint="eastAsia" w:cs="宋体" w:asciiTheme="majorEastAsia" w:hAnsiTheme="majorEastAsia" w:eastAsiaTheme="majorEastAsia"/>
                <w:color w:val="000000"/>
                <w:kern w:val="0"/>
                <w:sz w:val="24"/>
                <w:szCs w:val="24"/>
              </w:rPr>
              <w:t>aA</w:t>
            </w:r>
          </w:p>
        </w:tc>
        <w:tc>
          <w:tcPr>
            <w:tcW w:w="791" w:type="dxa"/>
            <w:tcBorders>
              <w:tl2br w:val="nil"/>
              <w:tr2bl w:val="nil"/>
            </w:tcBorders>
            <w:shd w:val="clear" w:color="auto" w:fill="auto"/>
            <w:tcMar>
              <w:top w:w="15" w:type="dxa"/>
              <w:left w:w="15" w:type="dxa"/>
              <w:right w:w="15" w:type="dxa"/>
            </w:tcMar>
            <w:vAlign w:val="center"/>
          </w:tcPr>
          <w:p>
            <w:pPr>
              <w:widowControl/>
              <w:spacing w:line="440" w:lineRule="exact"/>
              <w:ind w:right="5"/>
              <w:jc w:val="right"/>
              <w:textAlignment w:val="top"/>
              <w:rPr>
                <w:rFonts w:cs="宋体" w:asciiTheme="majorEastAsia" w:hAnsiTheme="majorEastAsia" w:eastAsiaTheme="majorEastAsia"/>
                <w:color w:val="000000"/>
                <w:kern w:val="0"/>
                <w:sz w:val="24"/>
                <w:szCs w:val="24"/>
              </w:rPr>
            </w:pPr>
            <w:r>
              <w:rPr>
                <w:rFonts w:hint="eastAsia" w:ascii="宋体" w:hAnsi="宋体" w:eastAsia="宋体" w:cs="宋体"/>
                <w:color w:val="000000"/>
                <w:kern w:val="0"/>
                <w:sz w:val="24"/>
                <w:szCs w:val="24"/>
              </w:rPr>
              <w:t>1000.2</w:t>
            </w:r>
          </w:p>
        </w:tc>
        <w:tc>
          <w:tcPr>
            <w:tcW w:w="551" w:type="dxa"/>
            <w:tcBorders>
              <w:tl2br w:val="nil"/>
              <w:tr2bl w:val="nil"/>
            </w:tcBorders>
            <w:shd w:val="clear" w:color="auto" w:fill="auto"/>
            <w:noWrap/>
            <w:tcMar>
              <w:top w:w="15" w:type="dxa"/>
              <w:left w:w="15" w:type="dxa"/>
              <w:right w:w="15" w:type="dxa"/>
            </w:tcMar>
            <w:vAlign w:val="center"/>
          </w:tcPr>
          <w:p>
            <w:pPr>
              <w:widowControl/>
              <w:spacing w:line="440" w:lineRule="exact"/>
              <w:ind w:right="5"/>
              <w:textAlignment w:val="top"/>
              <w:rPr>
                <w:rFonts w:ascii="宋体" w:hAnsi="宋体" w:eastAsia="宋体" w:cs="宋体"/>
                <w:color w:val="000000"/>
                <w:kern w:val="0"/>
                <w:sz w:val="24"/>
                <w:szCs w:val="24"/>
              </w:rPr>
            </w:pPr>
            <w:r>
              <w:rPr>
                <w:rFonts w:hint="eastAsia" w:cs="宋体" w:asciiTheme="majorEastAsia" w:hAnsiTheme="majorEastAsia" w:eastAsiaTheme="majorEastAsia"/>
                <w:color w:val="000000"/>
                <w:kern w:val="0"/>
                <w:sz w:val="24"/>
                <w:szCs w:val="24"/>
              </w:rPr>
              <w:t>bB</w:t>
            </w:r>
          </w:p>
        </w:tc>
      </w:tr>
      <w:tr>
        <w:tblPrEx>
          <w:tblBorders>
            <w:top w:val="single" w:color="000000" w:sz="18" w:space="0"/>
            <w:left w:val="none" w:color="auto" w:sz="0" w:space="0"/>
            <w:bottom w:val="single" w:color="000000" w:sz="18" w:space="0"/>
            <w:right w:val="none" w:color="auto" w:sz="0" w:space="0"/>
            <w:insideH w:val="none" w:color="auto" w:sz="0" w:space="0"/>
            <w:insideV w:val="none" w:color="auto" w:sz="0" w:space="0"/>
          </w:tblBorders>
          <w:tblCellMar>
            <w:top w:w="0" w:type="dxa"/>
            <w:left w:w="0" w:type="dxa"/>
            <w:bottom w:w="0" w:type="dxa"/>
            <w:right w:w="0" w:type="dxa"/>
          </w:tblCellMar>
        </w:tblPrEx>
        <w:trPr>
          <w:trHeight w:val="996" w:hRule="exact"/>
          <w:jc w:val="center"/>
        </w:trPr>
        <w:tc>
          <w:tcPr>
            <w:tcW w:w="1919" w:type="dxa"/>
            <w:tcBorders>
              <w:tl2br w:val="nil"/>
              <w:tr2bl w:val="nil"/>
            </w:tcBorders>
            <w:shd w:val="clear" w:color="auto" w:fill="auto"/>
            <w:tcMar>
              <w:top w:w="15" w:type="dxa"/>
              <w:left w:w="15" w:type="dxa"/>
              <w:right w:w="15" w:type="dxa"/>
            </w:tcMar>
            <w:vAlign w:val="center"/>
          </w:tcPr>
          <w:p>
            <w:pPr>
              <w:widowControl/>
              <w:spacing w:line="300" w:lineRule="exact"/>
              <w:jc w:val="center"/>
              <w:textAlignment w:val="top"/>
              <w:rPr>
                <w:rFonts w:cs="宋体" w:asciiTheme="majorEastAsia" w:hAnsiTheme="majorEastAsia" w:eastAsiaTheme="majorEastAsia"/>
                <w:color w:val="000000"/>
                <w:kern w:val="0"/>
                <w:sz w:val="24"/>
                <w:szCs w:val="24"/>
              </w:rPr>
            </w:pPr>
            <w:r>
              <w:rPr>
                <w:rFonts w:hint="eastAsia" w:cs="宋体" w:asciiTheme="majorEastAsia" w:hAnsiTheme="majorEastAsia" w:eastAsiaTheme="majorEastAsia"/>
                <w:color w:val="000000"/>
                <w:kern w:val="0"/>
                <w:sz w:val="24"/>
                <w:szCs w:val="24"/>
              </w:rPr>
              <w:t>大苗</w:t>
            </w:r>
          </w:p>
          <w:p>
            <w:pPr>
              <w:widowControl/>
              <w:spacing w:line="300" w:lineRule="exact"/>
              <w:jc w:val="center"/>
              <w:textAlignment w:val="top"/>
              <w:rPr>
                <w:rFonts w:cs="宋体" w:asciiTheme="majorEastAsia" w:hAnsiTheme="majorEastAsia" w:eastAsiaTheme="majorEastAsia"/>
                <w:color w:val="000000"/>
                <w:sz w:val="24"/>
                <w:szCs w:val="24"/>
              </w:rPr>
            </w:pPr>
            <w:r>
              <w:rPr>
                <w:rFonts w:hint="eastAsia" w:cs="宋体" w:asciiTheme="majorEastAsia" w:hAnsiTheme="majorEastAsia" w:eastAsiaTheme="majorEastAsia"/>
                <w:color w:val="000000"/>
                <w:kern w:val="0"/>
                <w:sz w:val="24"/>
                <w:szCs w:val="24"/>
              </w:rPr>
              <w:t>(d&gt;0.8cm)</w:t>
            </w:r>
          </w:p>
        </w:tc>
        <w:tc>
          <w:tcPr>
            <w:tcW w:w="755" w:type="dxa"/>
            <w:tcBorders>
              <w:tl2br w:val="nil"/>
              <w:tr2bl w:val="nil"/>
            </w:tcBorders>
            <w:shd w:val="clear" w:color="auto" w:fill="auto"/>
            <w:tcMar>
              <w:top w:w="15" w:type="dxa"/>
              <w:left w:w="15" w:type="dxa"/>
              <w:right w:w="15" w:type="dxa"/>
            </w:tcMar>
            <w:vAlign w:val="center"/>
          </w:tcPr>
          <w:p>
            <w:pPr>
              <w:widowControl/>
              <w:spacing w:line="440" w:lineRule="exact"/>
              <w:ind w:firstLine="240" w:firstLineChars="100"/>
              <w:jc w:val="right"/>
              <w:textAlignment w:val="top"/>
              <w:rPr>
                <w:rFonts w:cs="宋体" w:asciiTheme="majorEastAsia" w:hAnsiTheme="majorEastAsia" w:eastAsiaTheme="majorEastAsia"/>
                <w:color w:val="000000"/>
                <w:kern w:val="0"/>
                <w:sz w:val="24"/>
                <w:szCs w:val="24"/>
              </w:rPr>
            </w:pPr>
            <w:r>
              <w:rPr>
                <w:rFonts w:hint="eastAsia" w:cs="宋体" w:asciiTheme="majorEastAsia" w:hAnsiTheme="majorEastAsia" w:eastAsiaTheme="majorEastAsia"/>
                <w:color w:val="000000"/>
                <w:kern w:val="0"/>
                <w:sz w:val="24"/>
                <w:szCs w:val="24"/>
              </w:rPr>
              <w:t>97.0</w:t>
            </w:r>
          </w:p>
        </w:tc>
        <w:tc>
          <w:tcPr>
            <w:tcW w:w="547" w:type="dxa"/>
            <w:tcBorders>
              <w:tl2br w:val="nil"/>
              <w:tr2bl w:val="nil"/>
            </w:tcBorders>
            <w:shd w:val="clear" w:color="auto" w:fill="auto"/>
            <w:noWrap/>
            <w:tcMar>
              <w:top w:w="15" w:type="dxa"/>
              <w:left w:w="15" w:type="dxa"/>
              <w:right w:w="15" w:type="dxa"/>
            </w:tcMar>
            <w:vAlign w:val="center"/>
          </w:tcPr>
          <w:p>
            <w:pPr>
              <w:widowControl/>
              <w:spacing w:line="440" w:lineRule="exact"/>
              <w:ind w:right="105"/>
              <w:textAlignment w:val="top"/>
              <w:rPr>
                <w:rFonts w:cs="宋体" w:asciiTheme="majorEastAsia" w:hAnsiTheme="majorEastAsia" w:eastAsiaTheme="majorEastAsia"/>
                <w:color w:val="000000"/>
                <w:kern w:val="0"/>
                <w:sz w:val="24"/>
                <w:szCs w:val="24"/>
              </w:rPr>
            </w:pPr>
            <w:r>
              <w:rPr>
                <w:rFonts w:hint="eastAsia" w:cs="宋体" w:asciiTheme="majorEastAsia" w:hAnsiTheme="majorEastAsia" w:eastAsiaTheme="majorEastAsia"/>
                <w:color w:val="000000"/>
                <w:kern w:val="0"/>
                <w:sz w:val="24"/>
                <w:szCs w:val="24"/>
              </w:rPr>
              <w:t>aA</w:t>
            </w:r>
          </w:p>
        </w:tc>
        <w:tc>
          <w:tcPr>
            <w:tcW w:w="645" w:type="dxa"/>
            <w:tcBorders>
              <w:tl2br w:val="nil"/>
              <w:tr2bl w:val="nil"/>
            </w:tcBorders>
            <w:shd w:val="clear" w:color="auto" w:fill="auto"/>
            <w:tcMar>
              <w:top w:w="15" w:type="dxa"/>
              <w:left w:w="15" w:type="dxa"/>
              <w:right w:w="15" w:type="dxa"/>
            </w:tcMar>
            <w:vAlign w:val="center"/>
          </w:tcPr>
          <w:p>
            <w:pPr>
              <w:widowControl/>
              <w:spacing w:line="440" w:lineRule="exact"/>
              <w:ind w:right="105"/>
              <w:jc w:val="right"/>
              <w:textAlignment w:val="top"/>
              <w:rPr>
                <w:rFonts w:cs="宋体" w:asciiTheme="majorEastAsia" w:hAnsiTheme="majorEastAsia" w:eastAsiaTheme="majorEastAsia"/>
                <w:color w:val="000000"/>
                <w:kern w:val="0"/>
                <w:sz w:val="24"/>
                <w:szCs w:val="24"/>
              </w:rPr>
            </w:pPr>
            <w:r>
              <w:rPr>
                <w:rFonts w:hint="eastAsia" w:cs="宋体" w:asciiTheme="majorEastAsia" w:hAnsiTheme="majorEastAsia" w:eastAsiaTheme="majorEastAsia"/>
                <w:color w:val="000000"/>
                <w:kern w:val="0"/>
                <w:sz w:val="24"/>
                <w:szCs w:val="24"/>
              </w:rPr>
              <w:t>80.1</w:t>
            </w:r>
          </w:p>
        </w:tc>
        <w:tc>
          <w:tcPr>
            <w:tcW w:w="283" w:type="dxa"/>
            <w:tcBorders>
              <w:tl2br w:val="nil"/>
              <w:tr2bl w:val="nil"/>
            </w:tcBorders>
            <w:shd w:val="clear" w:color="auto" w:fill="auto"/>
            <w:tcMar>
              <w:top w:w="15" w:type="dxa"/>
              <w:left w:w="15" w:type="dxa"/>
              <w:right w:w="15" w:type="dxa"/>
            </w:tcMar>
            <w:vAlign w:val="center"/>
          </w:tcPr>
          <w:p>
            <w:pPr>
              <w:widowControl/>
              <w:spacing w:line="440" w:lineRule="exact"/>
              <w:textAlignment w:val="top"/>
              <w:rPr>
                <w:rFonts w:cs="宋体" w:asciiTheme="majorEastAsia" w:hAnsiTheme="majorEastAsia" w:eastAsiaTheme="majorEastAsia"/>
                <w:color w:val="000000"/>
                <w:kern w:val="0"/>
                <w:sz w:val="24"/>
                <w:szCs w:val="24"/>
              </w:rPr>
            </w:pPr>
            <w:r>
              <w:rPr>
                <w:rFonts w:hint="eastAsia" w:cs="宋体" w:asciiTheme="majorEastAsia" w:hAnsiTheme="majorEastAsia" w:eastAsiaTheme="majorEastAsia"/>
                <w:color w:val="000000"/>
                <w:kern w:val="0"/>
                <w:sz w:val="24"/>
                <w:szCs w:val="24"/>
              </w:rPr>
              <w:t>aA</w:t>
            </w:r>
          </w:p>
        </w:tc>
        <w:tc>
          <w:tcPr>
            <w:tcW w:w="534" w:type="dxa"/>
            <w:tcBorders>
              <w:tl2br w:val="nil"/>
              <w:tr2bl w:val="nil"/>
            </w:tcBorders>
            <w:shd w:val="clear" w:color="auto" w:fill="auto"/>
            <w:tcMar>
              <w:top w:w="15" w:type="dxa"/>
              <w:left w:w="15" w:type="dxa"/>
              <w:right w:w="15" w:type="dxa"/>
            </w:tcMar>
            <w:vAlign w:val="center"/>
          </w:tcPr>
          <w:p>
            <w:pPr>
              <w:widowControl/>
              <w:spacing w:line="440" w:lineRule="exact"/>
              <w:jc w:val="right"/>
              <w:textAlignment w:val="top"/>
              <w:rPr>
                <w:rFonts w:cs="宋体" w:asciiTheme="majorEastAsia" w:hAnsiTheme="majorEastAsia" w:eastAsiaTheme="majorEastAsia"/>
                <w:color w:val="000000"/>
                <w:kern w:val="0"/>
                <w:sz w:val="24"/>
                <w:szCs w:val="24"/>
              </w:rPr>
            </w:pPr>
            <w:r>
              <w:rPr>
                <w:rFonts w:hint="eastAsia" w:cs="宋体" w:asciiTheme="majorEastAsia" w:hAnsiTheme="majorEastAsia" w:eastAsiaTheme="majorEastAsia"/>
                <w:color w:val="000000"/>
                <w:kern w:val="0"/>
                <w:sz w:val="24"/>
                <w:szCs w:val="24"/>
              </w:rPr>
              <w:t>24.7</w:t>
            </w:r>
          </w:p>
        </w:tc>
        <w:tc>
          <w:tcPr>
            <w:tcW w:w="549" w:type="dxa"/>
            <w:tcBorders>
              <w:tl2br w:val="nil"/>
              <w:tr2bl w:val="nil"/>
            </w:tcBorders>
            <w:shd w:val="clear" w:color="auto" w:fill="auto"/>
            <w:noWrap/>
            <w:tcMar>
              <w:top w:w="15" w:type="dxa"/>
              <w:left w:w="15" w:type="dxa"/>
              <w:right w:w="15" w:type="dxa"/>
            </w:tcMar>
            <w:vAlign w:val="center"/>
          </w:tcPr>
          <w:p>
            <w:pPr>
              <w:widowControl/>
              <w:spacing w:line="440" w:lineRule="exact"/>
              <w:textAlignment w:val="top"/>
              <w:rPr>
                <w:rFonts w:cs="宋体" w:asciiTheme="majorEastAsia" w:hAnsiTheme="majorEastAsia" w:eastAsiaTheme="majorEastAsia"/>
                <w:color w:val="000000"/>
                <w:kern w:val="0"/>
                <w:sz w:val="24"/>
                <w:szCs w:val="24"/>
              </w:rPr>
            </w:pPr>
            <w:r>
              <w:rPr>
                <w:rFonts w:hint="eastAsia" w:cs="宋体" w:asciiTheme="majorEastAsia" w:hAnsiTheme="majorEastAsia" w:eastAsiaTheme="majorEastAsia"/>
                <w:color w:val="000000"/>
                <w:kern w:val="0"/>
                <w:sz w:val="24"/>
                <w:szCs w:val="24"/>
              </w:rPr>
              <w:t>aA</w:t>
            </w:r>
          </w:p>
        </w:tc>
        <w:tc>
          <w:tcPr>
            <w:tcW w:w="660" w:type="dxa"/>
            <w:tcBorders>
              <w:tl2br w:val="nil"/>
              <w:tr2bl w:val="nil"/>
            </w:tcBorders>
            <w:shd w:val="clear" w:color="auto" w:fill="auto"/>
            <w:tcMar>
              <w:top w:w="15" w:type="dxa"/>
              <w:left w:w="15" w:type="dxa"/>
              <w:right w:w="15" w:type="dxa"/>
            </w:tcMar>
            <w:vAlign w:val="center"/>
          </w:tcPr>
          <w:p>
            <w:pPr>
              <w:widowControl/>
              <w:spacing w:line="440" w:lineRule="exact"/>
              <w:jc w:val="right"/>
              <w:textAlignment w:val="top"/>
              <w:rPr>
                <w:rFonts w:cs="宋体" w:asciiTheme="majorEastAsia" w:hAnsiTheme="majorEastAsia" w:eastAsiaTheme="majorEastAsia"/>
                <w:kern w:val="0"/>
                <w:sz w:val="24"/>
                <w:szCs w:val="24"/>
              </w:rPr>
            </w:pPr>
            <w:r>
              <w:rPr>
                <w:rFonts w:hint="eastAsia" w:cs="宋体" w:asciiTheme="majorEastAsia" w:hAnsiTheme="majorEastAsia" w:eastAsiaTheme="majorEastAsia"/>
                <w:kern w:val="0"/>
                <w:sz w:val="24"/>
                <w:szCs w:val="24"/>
              </w:rPr>
              <w:t>101.7</w:t>
            </w:r>
          </w:p>
        </w:tc>
        <w:tc>
          <w:tcPr>
            <w:tcW w:w="548" w:type="dxa"/>
            <w:tcBorders>
              <w:tl2br w:val="nil"/>
              <w:tr2bl w:val="nil"/>
            </w:tcBorders>
            <w:shd w:val="clear" w:color="auto" w:fill="auto"/>
            <w:noWrap/>
            <w:tcMar>
              <w:top w:w="15" w:type="dxa"/>
              <w:left w:w="15" w:type="dxa"/>
              <w:right w:w="15" w:type="dxa"/>
            </w:tcMar>
            <w:vAlign w:val="center"/>
          </w:tcPr>
          <w:p>
            <w:pPr>
              <w:widowControl/>
              <w:spacing w:line="440" w:lineRule="exact"/>
              <w:jc w:val="left"/>
              <w:textAlignment w:val="top"/>
              <w:rPr>
                <w:rFonts w:cs="宋体" w:asciiTheme="majorEastAsia" w:hAnsiTheme="majorEastAsia" w:eastAsiaTheme="majorEastAsia"/>
                <w:kern w:val="0"/>
                <w:sz w:val="24"/>
                <w:szCs w:val="24"/>
              </w:rPr>
            </w:pPr>
            <w:r>
              <w:rPr>
                <w:rFonts w:hint="eastAsia" w:cs="宋体" w:asciiTheme="majorEastAsia" w:hAnsiTheme="majorEastAsia" w:eastAsiaTheme="majorEastAsia"/>
                <w:kern w:val="0"/>
                <w:sz w:val="24"/>
                <w:szCs w:val="24"/>
              </w:rPr>
              <w:t>bB</w:t>
            </w:r>
          </w:p>
        </w:tc>
        <w:tc>
          <w:tcPr>
            <w:tcW w:w="409" w:type="dxa"/>
            <w:tcBorders>
              <w:tl2br w:val="nil"/>
              <w:tr2bl w:val="nil"/>
            </w:tcBorders>
            <w:shd w:val="clear" w:color="auto" w:fill="auto"/>
            <w:tcMar>
              <w:top w:w="15" w:type="dxa"/>
              <w:left w:w="15" w:type="dxa"/>
              <w:right w:w="15" w:type="dxa"/>
            </w:tcMar>
            <w:vAlign w:val="center"/>
          </w:tcPr>
          <w:p>
            <w:pPr>
              <w:widowControl/>
              <w:spacing w:line="440" w:lineRule="exact"/>
              <w:jc w:val="right"/>
              <w:textAlignment w:val="top"/>
              <w:rPr>
                <w:rFonts w:cs="宋体" w:asciiTheme="majorEastAsia" w:hAnsiTheme="majorEastAsia" w:eastAsiaTheme="majorEastAsia"/>
                <w:kern w:val="0"/>
                <w:sz w:val="24"/>
                <w:szCs w:val="24"/>
              </w:rPr>
            </w:pPr>
            <w:r>
              <w:rPr>
                <w:rFonts w:hint="eastAsia" w:cs="宋体" w:asciiTheme="majorEastAsia" w:hAnsiTheme="majorEastAsia" w:eastAsiaTheme="majorEastAsia"/>
                <w:kern w:val="0"/>
                <w:sz w:val="24"/>
                <w:szCs w:val="24"/>
              </w:rPr>
              <w:t>2.1</w:t>
            </w:r>
          </w:p>
        </w:tc>
        <w:tc>
          <w:tcPr>
            <w:tcW w:w="548" w:type="dxa"/>
            <w:tcBorders>
              <w:tl2br w:val="nil"/>
              <w:tr2bl w:val="nil"/>
            </w:tcBorders>
            <w:shd w:val="clear" w:color="auto" w:fill="auto"/>
            <w:noWrap/>
            <w:tcMar>
              <w:top w:w="15" w:type="dxa"/>
              <w:left w:w="15" w:type="dxa"/>
              <w:right w:w="15" w:type="dxa"/>
            </w:tcMar>
            <w:vAlign w:val="center"/>
          </w:tcPr>
          <w:p>
            <w:pPr>
              <w:widowControl/>
              <w:spacing w:line="440" w:lineRule="exact"/>
              <w:jc w:val="left"/>
              <w:textAlignment w:val="top"/>
              <w:rPr>
                <w:rFonts w:cs="宋体" w:asciiTheme="majorEastAsia" w:hAnsiTheme="majorEastAsia" w:eastAsiaTheme="majorEastAsia"/>
                <w:kern w:val="0"/>
                <w:sz w:val="24"/>
                <w:szCs w:val="24"/>
              </w:rPr>
            </w:pPr>
            <w:r>
              <w:rPr>
                <w:rFonts w:hint="eastAsia" w:cs="宋体" w:asciiTheme="majorEastAsia" w:hAnsiTheme="majorEastAsia" w:eastAsiaTheme="majorEastAsia"/>
                <w:kern w:val="0"/>
                <w:sz w:val="24"/>
                <w:szCs w:val="24"/>
              </w:rPr>
              <w:t>bB</w:t>
            </w:r>
          </w:p>
        </w:tc>
        <w:tc>
          <w:tcPr>
            <w:tcW w:w="409" w:type="dxa"/>
            <w:tcBorders>
              <w:tl2br w:val="nil"/>
              <w:tr2bl w:val="nil"/>
            </w:tcBorders>
            <w:shd w:val="clear" w:color="auto" w:fill="auto"/>
            <w:tcMar>
              <w:top w:w="15" w:type="dxa"/>
              <w:left w:w="15" w:type="dxa"/>
              <w:right w:w="15" w:type="dxa"/>
            </w:tcMar>
            <w:vAlign w:val="center"/>
          </w:tcPr>
          <w:p>
            <w:pPr>
              <w:widowControl/>
              <w:spacing w:line="440" w:lineRule="exact"/>
              <w:jc w:val="right"/>
              <w:textAlignment w:val="top"/>
              <w:rPr>
                <w:rFonts w:cs="宋体" w:asciiTheme="majorEastAsia" w:hAnsiTheme="majorEastAsia" w:eastAsiaTheme="majorEastAsia"/>
                <w:color w:val="000000"/>
                <w:kern w:val="0"/>
                <w:sz w:val="24"/>
                <w:szCs w:val="24"/>
              </w:rPr>
            </w:pPr>
            <w:r>
              <w:rPr>
                <w:rFonts w:hint="eastAsia" w:cs="宋体" w:asciiTheme="majorEastAsia" w:hAnsiTheme="majorEastAsia" w:eastAsiaTheme="majorEastAsia"/>
                <w:color w:val="000000"/>
                <w:kern w:val="0"/>
                <w:sz w:val="24"/>
                <w:szCs w:val="24"/>
              </w:rPr>
              <w:t>3.</w:t>
            </w:r>
            <w:r>
              <w:rPr>
                <w:rFonts w:cs="宋体" w:asciiTheme="majorEastAsia" w:hAnsiTheme="majorEastAsia" w:eastAsiaTheme="majorEastAsia"/>
                <w:color w:val="000000"/>
                <w:kern w:val="0"/>
                <w:sz w:val="24"/>
                <w:szCs w:val="24"/>
              </w:rPr>
              <w:t>1</w:t>
            </w:r>
          </w:p>
        </w:tc>
        <w:tc>
          <w:tcPr>
            <w:tcW w:w="548" w:type="dxa"/>
            <w:tcBorders>
              <w:tl2br w:val="nil"/>
              <w:tr2bl w:val="nil"/>
            </w:tcBorders>
            <w:shd w:val="clear" w:color="auto" w:fill="auto"/>
            <w:noWrap/>
            <w:tcMar>
              <w:top w:w="15" w:type="dxa"/>
              <w:left w:w="15" w:type="dxa"/>
              <w:right w:w="15" w:type="dxa"/>
            </w:tcMar>
            <w:vAlign w:val="center"/>
          </w:tcPr>
          <w:p>
            <w:pPr>
              <w:widowControl/>
              <w:spacing w:line="440" w:lineRule="exact"/>
              <w:jc w:val="left"/>
              <w:textAlignment w:val="top"/>
              <w:rPr>
                <w:rFonts w:cs="宋体" w:asciiTheme="majorEastAsia" w:hAnsiTheme="majorEastAsia" w:eastAsiaTheme="majorEastAsia"/>
                <w:color w:val="000000"/>
                <w:kern w:val="0"/>
                <w:sz w:val="24"/>
                <w:szCs w:val="24"/>
              </w:rPr>
            </w:pPr>
            <w:r>
              <w:rPr>
                <w:rFonts w:hint="eastAsia" w:cs="宋体" w:asciiTheme="majorEastAsia" w:hAnsiTheme="majorEastAsia" w:eastAsiaTheme="majorEastAsia"/>
                <w:color w:val="000000"/>
                <w:kern w:val="0"/>
                <w:sz w:val="24"/>
                <w:szCs w:val="24"/>
              </w:rPr>
              <w:t>b</w:t>
            </w:r>
            <w:r>
              <w:rPr>
                <w:rFonts w:cs="宋体" w:asciiTheme="majorEastAsia" w:hAnsiTheme="majorEastAsia" w:eastAsiaTheme="majorEastAsia"/>
                <w:color w:val="000000"/>
                <w:kern w:val="0"/>
                <w:sz w:val="24"/>
                <w:szCs w:val="24"/>
              </w:rPr>
              <w:t>B</w:t>
            </w:r>
          </w:p>
        </w:tc>
        <w:tc>
          <w:tcPr>
            <w:tcW w:w="791" w:type="dxa"/>
            <w:tcBorders>
              <w:tl2br w:val="nil"/>
              <w:tr2bl w:val="nil"/>
            </w:tcBorders>
            <w:shd w:val="clear" w:color="auto" w:fill="auto"/>
            <w:tcMar>
              <w:top w:w="15" w:type="dxa"/>
              <w:left w:w="15" w:type="dxa"/>
              <w:right w:w="15" w:type="dxa"/>
            </w:tcMar>
            <w:vAlign w:val="center"/>
          </w:tcPr>
          <w:p>
            <w:pPr>
              <w:widowControl/>
              <w:spacing w:line="440" w:lineRule="exact"/>
              <w:ind w:right="5"/>
              <w:jc w:val="right"/>
              <w:textAlignment w:val="top"/>
              <w:rPr>
                <w:rFonts w:cs="宋体" w:asciiTheme="majorEastAsia" w:hAnsiTheme="majorEastAsia" w:eastAsiaTheme="majorEastAsia"/>
                <w:color w:val="000000"/>
                <w:kern w:val="0"/>
                <w:sz w:val="24"/>
                <w:szCs w:val="24"/>
              </w:rPr>
            </w:pPr>
            <w:r>
              <w:rPr>
                <w:rFonts w:hint="eastAsia" w:ascii="宋体" w:hAnsi="宋体" w:eastAsia="宋体" w:cs="宋体"/>
                <w:color w:val="000000"/>
                <w:kern w:val="0"/>
                <w:sz w:val="24"/>
                <w:szCs w:val="24"/>
              </w:rPr>
              <w:t>789.0</w:t>
            </w:r>
          </w:p>
        </w:tc>
        <w:tc>
          <w:tcPr>
            <w:tcW w:w="551" w:type="dxa"/>
            <w:tcBorders>
              <w:tl2br w:val="nil"/>
              <w:tr2bl w:val="nil"/>
            </w:tcBorders>
            <w:shd w:val="clear" w:color="auto" w:fill="auto"/>
            <w:noWrap/>
            <w:tcMar>
              <w:top w:w="15" w:type="dxa"/>
              <w:left w:w="15" w:type="dxa"/>
              <w:right w:w="15" w:type="dxa"/>
            </w:tcMar>
            <w:vAlign w:val="center"/>
          </w:tcPr>
          <w:p>
            <w:pPr>
              <w:widowControl/>
              <w:spacing w:line="440" w:lineRule="exact"/>
              <w:ind w:right="5"/>
              <w:textAlignment w:val="top"/>
              <w:rPr>
                <w:rFonts w:ascii="宋体" w:hAnsi="宋体" w:eastAsia="宋体" w:cs="宋体"/>
                <w:color w:val="000000"/>
                <w:kern w:val="0"/>
                <w:sz w:val="24"/>
                <w:szCs w:val="24"/>
              </w:rPr>
            </w:pPr>
            <w:r>
              <w:rPr>
                <w:rFonts w:hint="eastAsia" w:cs="宋体" w:asciiTheme="majorEastAsia" w:hAnsiTheme="majorEastAsia" w:eastAsiaTheme="majorEastAsia"/>
                <w:color w:val="000000"/>
                <w:kern w:val="0"/>
                <w:sz w:val="24"/>
                <w:szCs w:val="24"/>
              </w:rPr>
              <w:t>cC</w:t>
            </w:r>
          </w:p>
        </w:tc>
      </w:tr>
    </w:tbl>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试验结果表明，除特小苗成活率较低外，其余成活率均在95%以上。抽薹率分别为5.3%、15.7%、45.5%、80.1%， 种苗越大抽薹率越高，影响效果极为显著。不同种苗大小对其根长无显著影响。小苗与中苗之间、特小苗与大苗之间的单根鲜重、归头粗、归头长无显著差异。小苗与中苗单根重平均为139.9g，分别比特小苗、大苗增重30.0%、37.6%；归头粗平均为4.4cm，分别比特小苗、大苗增粗91.3%、109.5%；归头长平均为4.3cm，分别比特小苗、大苗增长72.0%、13.2%。说明用小苗、中苗定值的当归主要质量性状明显较好。产量表现为小苗&gt;中苗&gt;大苗&gt;特小苗，影响效果极为显著。其中小苗的产量最高，为1137.6 kg /667㎡，分别增产11.3%、44.2%、87.6%。</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综上所述，苗径在0.2-0.5cm之间的种苗成活率和抽薹率都可控制在有效范围内，更适宜移栽，可以按此范围，将其制定为合格种苗的标准。</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default"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1.2 苗长、苗鲜重</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2019年采挖种苗后抽样测量其种苗长度，苗径在0.2-0.5cm的种苗98.2%的种苗长度在7-15cm之间，所以将此区间定为合格种苗的苗长标准区间。再根据试验各环节、各生育期的观察记载及大田种植抽样观察、种植户经验分析、资料查询分析，可将苗长、苗径划分为三个区间等级，一级标准苗径在0.3-0.4cm之间,  苗长在10-12cm之间，在此范围内的种苗测单株鲜重，94.9%在0.4-0.5g之间，二级标准苗径在0.4cm-0.5cm之间，苗长在13cm-15cm之间，在此范围内的种苗单株鲜重91.0%在0.5g-0.6g之间，三级标准苗径在0.2cm-0.3cm之间，苗长在7cm-9cm之间，在此范围内的种苗单株鲜重90.0%在0.2-0.3g之间。</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1.3苗形</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试验地点：2019年在青海互丰农业科技集团有限公司试验基地开展不中种苗形状的试验。</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试验设计：种苗形状试验设4个处理，，分别为直苗、分叉苗、萝卜苗；试验采用单因素随机区组设计,每个处理3次重复，每小区面积为20㎡。</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0" w:firstLineChars="200"/>
        <w:jc w:val="left"/>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表4 种苗形状对当归成活率、抽薹率及质量性状和产量的影响</w:t>
      </w:r>
    </w:p>
    <w:tbl>
      <w:tblPr>
        <w:tblStyle w:val="4"/>
        <w:tblW w:w="5276" w:type="pct"/>
        <w:jc w:val="center"/>
        <w:tblBorders>
          <w:top w:val="single" w:color="000000" w:sz="18" w:space="0"/>
          <w:left w:val="none" w:color="auto" w:sz="0" w:space="0"/>
          <w:bottom w:val="single" w:color="000000" w:sz="18"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802"/>
        <w:gridCol w:w="544"/>
        <w:gridCol w:w="556"/>
        <w:gridCol w:w="546"/>
        <w:gridCol w:w="559"/>
        <w:gridCol w:w="546"/>
        <w:gridCol w:w="559"/>
        <w:gridCol w:w="665"/>
        <w:gridCol w:w="556"/>
        <w:gridCol w:w="497"/>
        <w:gridCol w:w="558"/>
        <w:gridCol w:w="497"/>
        <w:gridCol w:w="559"/>
        <w:gridCol w:w="791"/>
        <w:gridCol w:w="555"/>
        <w:gridCol w:w="6"/>
      </w:tblGrid>
      <w:tr>
        <w:tblPrEx>
          <w:tblBorders>
            <w:top w:val="single" w:color="000000" w:sz="18" w:space="0"/>
            <w:left w:val="none" w:color="auto" w:sz="0" w:space="0"/>
            <w:bottom w:val="single" w:color="000000" w:sz="18" w:space="0"/>
            <w:right w:val="none" w:color="auto" w:sz="0" w:space="0"/>
            <w:insideH w:val="none" w:color="auto" w:sz="0" w:space="0"/>
            <w:insideV w:val="none" w:color="auto" w:sz="0" w:space="0"/>
          </w:tblBorders>
          <w:tblCellMar>
            <w:top w:w="0" w:type="dxa"/>
            <w:left w:w="0" w:type="dxa"/>
            <w:bottom w:w="0" w:type="dxa"/>
            <w:right w:w="0" w:type="dxa"/>
          </w:tblCellMar>
        </w:tblPrEx>
        <w:trPr>
          <w:trHeight w:val="988" w:hRule="exact"/>
          <w:jc w:val="center"/>
        </w:trPr>
        <w:tc>
          <w:tcPr>
            <w:tcW w:w="802" w:type="dxa"/>
            <w:tcBorders>
              <w:bottom w:val="single" w:color="000000" w:sz="18" w:space="0"/>
            </w:tcBorders>
            <w:shd w:val="clear" w:color="auto" w:fill="auto"/>
            <w:noWrap/>
            <w:tcMar>
              <w:top w:w="15" w:type="dxa"/>
              <w:left w:w="15" w:type="dxa"/>
              <w:right w:w="15" w:type="dxa"/>
            </w:tcMar>
            <w:vAlign w:val="center"/>
          </w:tcPr>
          <w:p>
            <w:pPr>
              <w:widowControl/>
              <w:spacing w:line="360" w:lineRule="exact"/>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处理</w:t>
            </w:r>
          </w:p>
        </w:tc>
        <w:tc>
          <w:tcPr>
            <w:tcW w:w="1101" w:type="dxa"/>
            <w:gridSpan w:val="2"/>
            <w:tcBorders>
              <w:bottom w:val="single" w:color="000000" w:sz="18" w:space="0"/>
            </w:tcBorders>
            <w:shd w:val="clear" w:color="auto" w:fill="auto"/>
            <w:tcMar>
              <w:top w:w="15" w:type="dxa"/>
              <w:left w:w="15" w:type="dxa"/>
              <w:right w:w="15" w:type="dxa"/>
            </w:tcMar>
            <w:vAlign w:val="center"/>
          </w:tcPr>
          <w:p>
            <w:pPr>
              <w:widowControl/>
              <w:spacing w:line="360" w:lineRule="exact"/>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成活率</w:t>
            </w:r>
          </w:p>
          <w:p>
            <w:pPr>
              <w:widowControl/>
              <w:spacing w:line="360" w:lineRule="exact"/>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w:t>
            </w:r>
          </w:p>
        </w:tc>
        <w:tc>
          <w:tcPr>
            <w:tcW w:w="1105" w:type="dxa"/>
            <w:gridSpan w:val="2"/>
            <w:tcBorders>
              <w:bottom w:val="single" w:color="000000" w:sz="18" w:space="0"/>
            </w:tcBorders>
            <w:shd w:val="clear" w:color="auto" w:fill="auto"/>
            <w:tcMar>
              <w:top w:w="15" w:type="dxa"/>
              <w:left w:w="15" w:type="dxa"/>
              <w:right w:w="15" w:type="dxa"/>
            </w:tcMar>
            <w:vAlign w:val="center"/>
          </w:tcPr>
          <w:p>
            <w:pPr>
              <w:widowControl/>
              <w:spacing w:line="360" w:lineRule="exact"/>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抽薹率</w:t>
            </w:r>
          </w:p>
          <w:p>
            <w:pPr>
              <w:widowControl/>
              <w:spacing w:line="360" w:lineRule="exact"/>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w:t>
            </w:r>
          </w:p>
        </w:tc>
        <w:tc>
          <w:tcPr>
            <w:tcW w:w="1105" w:type="dxa"/>
            <w:gridSpan w:val="2"/>
            <w:tcBorders>
              <w:bottom w:val="single" w:color="000000" w:sz="18" w:space="0"/>
            </w:tcBorders>
            <w:shd w:val="clear" w:color="auto" w:fill="auto"/>
            <w:tcMar>
              <w:top w:w="15" w:type="dxa"/>
              <w:left w:w="15" w:type="dxa"/>
              <w:right w:w="15" w:type="dxa"/>
            </w:tcMar>
            <w:vAlign w:val="center"/>
          </w:tcPr>
          <w:p>
            <w:pPr>
              <w:widowControl/>
              <w:spacing w:line="360" w:lineRule="exact"/>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根长</w:t>
            </w:r>
          </w:p>
          <w:p>
            <w:pPr>
              <w:widowControl/>
              <w:spacing w:line="360" w:lineRule="exact"/>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（cm）</w:t>
            </w:r>
          </w:p>
        </w:tc>
        <w:tc>
          <w:tcPr>
            <w:tcW w:w="1221" w:type="dxa"/>
            <w:gridSpan w:val="2"/>
            <w:tcBorders>
              <w:bottom w:val="single" w:color="000000" w:sz="18" w:space="0"/>
            </w:tcBorders>
            <w:shd w:val="clear" w:color="auto" w:fill="auto"/>
            <w:tcMar>
              <w:top w:w="15" w:type="dxa"/>
              <w:left w:w="15" w:type="dxa"/>
              <w:right w:w="15" w:type="dxa"/>
            </w:tcMar>
            <w:vAlign w:val="center"/>
          </w:tcPr>
          <w:p>
            <w:pPr>
              <w:widowControl/>
              <w:spacing w:line="360" w:lineRule="exact"/>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根鲜重</w:t>
            </w:r>
          </w:p>
          <w:p>
            <w:pPr>
              <w:widowControl/>
              <w:spacing w:line="360" w:lineRule="exact"/>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（g）</w:t>
            </w:r>
          </w:p>
        </w:tc>
        <w:tc>
          <w:tcPr>
            <w:tcW w:w="1055" w:type="dxa"/>
            <w:gridSpan w:val="2"/>
            <w:tcBorders>
              <w:bottom w:val="single" w:color="000000" w:sz="18" w:space="0"/>
            </w:tcBorders>
            <w:shd w:val="clear" w:color="auto" w:fill="auto"/>
            <w:tcMar>
              <w:top w:w="15" w:type="dxa"/>
              <w:left w:w="15" w:type="dxa"/>
              <w:right w:w="15" w:type="dxa"/>
            </w:tcMar>
            <w:vAlign w:val="center"/>
          </w:tcPr>
          <w:p>
            <w:pPr>
              <w:widowControl/>
              <w:spacing w:line="360" w:lineRule="exact"/>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归头粗</w:t>
            </w:r>
          </w:p>
          <w:p>
            <w:pPr>
              <w:widowControl/>
              <w:spacing w:line="360" w:lineRule="exact"/>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 xml:space="preserve"> (cm)</w:t>
            </w:r>
          </w:p>
        </w:tc>
        <w:tc>
          <w:tcPr>
            <w:tcW w:w="1056" w:type="dxa"/>
            <w:gridSpan w:val="2"/>
            <w:tcBorders>
              <w:bottom w:val="single" w:color="000000" w:sz="18" w:space="0"/>
            </w:tcBorders>
            <w:shd w:val="clear" w:color="auto" w:fill="auto"/>
            <w:tcMar>
              <w:top w:w="15" w:type="dxa"/>
              <w:left w:w="15" w:type="dxa"/>
              <w:right w:w="15" w:type="dxa"/>
            </w:tcMar>
            <w:vAlign w:val="center"/>
          </w:tcPr>
          <w:p>
            <w:pPr>
              <w:widowControl/>
              <w:spacing w:line="360" w:lineRule="exact"/>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归头长</w:t>
            </w:r>
          </w:p>
          <w:p>
            <w:pPr>
              <w:widowControl/>
              <w:spacing w:line="360" w:lineRule="exact"/>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(cm)</w:t>
            </w:r>
          </w:p>
        </w:tc>
        <w:tc>
          <w:tcPr>
            <w:tcW w:w="1352" w:type="dxa"/>
            <w:gridSpan w:val="3"/>
            <w:tcBorders>
              <w:bottom w:val="single" w:color="000000" w:sz="18" w:space="0"/>
            </w:tcBorders>
            <w:shd w:val="clear" w:color="auto" w:fill="auto"/>
            <w:tcMar>
              <w:top w:w="15" w:type="dxa"/>
              <w:left w:w="15" w:type="dxa"/>
              <w:right w:w="15" w:type="dxa"/>
            </w:tcMar>
            <w:vAlign w:val="center"/>
          </w:tcPr>
          <w:p>
            <w:pPr>
              <w:widowControl/>
              <w:spacing w:line="360" w:lineRule="exact"/>
              <w:jc w:val="center"/>
              <w:textAlignment w:val="center"/>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产量</w:t>
            </w:r>
          </w:p>
          <w:p>
            <w:pPr>
              <w:widowControl/>
              <w:spacing w:line="360" w:lineRule="exact"/>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w:t>
            </w:r>
            <w:r>
              <w:rPr>
                <w:rFonts w:hint="eastAsia" w:ascii="仿宋" w:hAnsi="仿宋" w:eastAsia="仿宋" w:cs="仿宋"/>
                <w:color w:val="000000"/>
                <w:kern w:val="0"/>
                <w:sz w:val="24"/>
                <w:szCs w:val="24"/>
                <w:lang w:eastAsia="zh-CN"/>
              </w:rPr>
              <w:t>kg</w:t>
            </w:r>
            <w:r>
              <w:rPr>
                <w:rFonts w:hint="eastAsia" w:ascii="仿宋" w:hAnsi="仿宋" w:eastAsia="仿宋" w:cs="仿宋"/>
                <w:color w:val="000000"/>
                <w:kern w:val="0"/>
                <w:sz w:val="24"/>
                <w:szCs w:val="24"/>
              </w:rPr>
              <w:t xml:space="preserve"> /667㎡）</w:t>
            </w:r>
          </w:p>
        </w:tc>
      </w:tr>
      <w:tr>
        <w:tblPrEx>
          <w:tblBorders>
            <w:top w:val="single" w:color="000000" w:sz="18" w:space="0"/>
            <w:left w:val="none" w:color="auto" w:sz="0" w:space="0"/>
            <w:bottom w:val="single" w:color="000000" w:sz="18"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6" w:type="dxa"/>
          <w:trHeight w:val="817" w:hRule="exact"/>
          <w:jc w:val="center"/>
        </w:trPr>
        <w:tc>
          <w:tcPr>
            <w:tcW w:w="802" w:type="dxa"/>
            <w:tcBorders>
              <w:top w:val="single" w:color="000000" w:sz="18" w:space="0"/>
              <w:bottom w:val="nil"/>
              <w:tl2br w:val="nil"/>
              <w:tr2bl w:val="nil"/>
            </w:tcBorders>
            <w:shd w:val="clear" w:color="auto" w:fill="auto"/>
            <w:tcMar>
              <w:top w:w="15" w:type="dxa"/>
              <w:left w:w="15" w:type="dxa"/>
              <w:right w:w="15" w:type="dxa"/>
            </w:tcMar>
            <w:vAlign w:val="center"/>
          </w:tcPr>
          <w:p>
            <w:pPr>
              <w:widowControl/>
              <w:spacing w:line="360" w:lineRule="exact"/>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直苗</w:t>
            </w:r>
          </w:p>
        </w:tc>
        <w:tc>
          <w:tcPr>
            <w:tcW w:w="545" w:type="dxa"/>
            <w:tcBorders>
              <w:top w:val="single" w:color="000000" w:sz="18" w:space="0"/>
              <w:bottom w:val="nil"/>
              <w:tl2br w:val="nil"/>
              <w:tr2bl w:val="nil"/>
            </w:tcBorders>
            <w:shd w:val="clear" w:color="auto" w:fill="auto"/>
            <w:tcMar>
              <w:top w:w="15" w:type="dxa"/>
              <w:left w:w="15" w:type="dxa"/>
              <w:right w:w="15" w:type="dxa"/>
            </w:tcMar>
            <w:vAlign w:val="center"/>
          </w:tcPr>
          <w:p>
            <w:pPr>
              <w:widowControl/>
              <w:spacing w:line="360" w:lineRule="exact"/>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93.5</w:t>
            </w:r>
          </w:p>
        </w:tc>
        <w:tc>
          <w:tcPr>
            <w:tcW w:w="556" w:type="dxa"/>
            <w:tcBorders>
              <w:top w:val="single" w:color="000000" w:sz="18" w:space="0"/>
              <w:bottom w:val="nil"/>
              <w:tl2br w:val="nil"/>
              <w:tr2bl w:val="nil"/>
            </w:tcBorders>
            <w:shd w:val="clear" w:color="auto" w:fill="auto"/>
            <w:noWrap/>
            <w:tcMar>
              <w:top w:w="15" w:type="dxa"/>
              <w:left w:w="15" w:type="dxa"/>
              <w:right w:w="15" w:type="dxa"/>
            </w:tcMar>
            <w:vAlign w:val="center"/>
          </w:tcPr>
          <w:p>
            <w:pPr>
              <w:widowControl/>
              <w:spacing w:line="360" w:lineRule="exact"/>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aA</w:t>
            </w:r>
          </w:p>
        </w:tc>
        <w:tc>
          <w:tcPr>
            <w:tcW w:w="546" w:type="dxa"/>
            <w:tcBorders>
              <w:top w:val="single" w:color="000000" w:sz="18" w:space="0"/>
              <w:bottom w:val="nil"/>
              <w:tl2br w:val="nil"/>
              <w:tr2bl w:val="nil"/>
            </w:tcBorders>
            <w:shd w:val="clear" w:color="auto" w:fill="auto"/>
            <w:tcMar>
              <w:top w:w="15" w:type="dxa"/>
              <w:left w:w="15" w:type="dxa"/>
              <w:right w:w="15" w:type="dxa"/>
            </w:tcMar>
            <w:vAlign w:val="center"/>
          </w:tcPr>
          <w:p>
            <w:pPr>
              <w:widowControl/>
              <w:spacing w:line="360" w:lineRule="exact"/>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18.8</w:t>
            </w:r>
          </w:p>
        </w:tc>
        <w:tc>
          <w:tcPr>
            <w:tcW w:w="559" w:type="dxa"/>
            <w:tcBorders>
              <w:top w:val="single" w:color="000000" w:sz="18" w:space="0"/>
              <w:bottom w:val="nil"/>
              <w:tl2br w:val="nil"/>
              <w:tr2bl w:val="nil"/>
            </w:tcBorders>
            <w:shd w:val="clear" w:color="auto" w:fill="auto"/>
            <w:noWrap/>
            <w:tcMar>
              <w:top w:w="15" w:type="dxa"/>
              <w:left w:w="15" w:type="dxa"/>
              <w:right w:w="15" w:type="dxa"/>
            </w:tcMar>
            <w:vAlign w:val="center"/>
          </w:tcPr>
          <w:p>
            <w:pPr>
              <w:widowControl/>
              <w:spacing w:line="360" w:lineRule="exact"/>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bB</w:t>
            </w:r>
          </w:p>
        </w:tc>
        <w:tc>
          <w:tcPr>
            <w:tcW w:w="546" w:type="dxa"/>
            <w:tcBorders>
              <w:top w:val="single" w:color="000000" w:sz="18" w:space="0"/>
              <w:bottom w:val="nil"/>
              <w:tl2br w:val="nil"/>
              <w:tr2bl w:val="nil"/>
            </w:tcBorders>
            <w:shd w:val="clear" w:color="auto" w:fill="auto"/>
            <w:tcMar>
              <w:top w:w="15" w:type="dxa"/>
              <w:left w:w="15" w:type="dxa"/>
              <w:right w:w="15" w:type="dxa"/>
            </w:tcMar>
            <w:vAlign w:val="center"/>
          </w:tcPr>
          <w:p>
            <w:pPr>
              <w:widowControl/>
              <w:spacing w:line="360" w:lineRule="exact"/>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26.3</w:t>
            </w:r>
          </w:p>
        </w:tc>
        <w:tc>
          <w:tcPr>
            <w:tcW w:w="559" w:type="dxa"/>
            <w:tcBorders>
              <w:top w:val="single" w:color="000000" w:sz="18" w:space="0"/>
              <w:bottom w:val="nil"/>
              <w:tl2br w:val="nil"/>
              <w:tr2bl w:val="nil"/>
            </w:tcBorders>
            <w:shd w:val="clear" w:color="auto" w:fill="auto"/>
            <w:noWrap/>
            <w:tcMar>
              <w:top w:w="15" w:type="dxa"/>
              <w:left w:w="15" w:type="dxa"/>
              <w:right w:w="15" w:type="dxa"/>
            </w:tcMar>
            <w:vAlign w:val="center"/>
          </w:tcPr>
          <w:p>
            <w:pPr>
              <w:widowControl/>
              <w:spacing w:line="360" w:lineRule="exact"/>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aA</w:t>
            </w:r>
          </w:p>
        </w:tc>
        <w:tc>
          <w:tcPr>
            <w:tcW w:w="665" w:type="dxa"/>
            <w:tcBorders>
              <w:top w:val="single" w:color="000000" w:sz="18" w:space="0"/>
              <w:bottom w:val="nil"/>
              <w:tl2br w:val="nil"/>
              <w:tr2bl w:val="nil"/>
            </w:tcBorders>
            <w:shd w:val="clear" w:color="auto" w:fill="auto"/>
            <w:tcMar>
              <w:top w:w="15" w:type="dxa"/>
              <w:left w:w="15" w:type="dxa"/>
              <w:right w:w="15" w:type="dxa"/>
            </w:tcMar>
            <w:vAlign w:val="center"/>
          </w:tcPr>
          <w:p>
            <w:pPr>
              <w:widowControl/>
              <w:spacing w:line="360" w:lineRule="exact"/>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193.0</w:t>
            </w:r>
          </w:p>
        </w:tc>
        <w:tc>
          <w:tcPr>
            <w:tcW w:w="556" w:type="dxa"/>
            <w:tcBorders>
              <w:top w:val="single" w:color="000000" w:sz="18" w:space="0"/>
              <w:bottom w:val="nil"/>
              <w:tl2br w:val="nil"/>
              <w:tr2bl w:val="nil"/>
            </w:tcBorders>
            <w:shd w:val="clear" w:color="auto" w:fill="auto"/>
            <w:noWrap/>
            <w:tcMar>
              <w:top w:w="15" w:type="dxa"/>
              <w:left w:w="15" w:type="dxa"/>
              <w:right w:w="15" w:type="dxa"/>
            </w:tcMar>
            <w:vAlign w:val="center"/>
          </w:tcPr>
          <w:p>
            <w:pPr>
              <w:widowControl/>
              <w:spacing w:line="360" w:lineRule="exact"/>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aA</w:t>
            </w:r>
          </w:p>
        </w:tc>
        <w:tc>
          <w:tcPr>
            <w:tcW w:w="497" w:type="dxa"/>
            <w:tcBorders>
              <w:top w:val="single" w:color="000000" w:sz="18" w:space="0"/>
              <w:bottom w:val="nil"/>
              <w:tl2br w:val="nil"/>
              <w:tr2bl w:val="nil"/>
            </w:tcBorders>
            <w:shd w:val="clear" w:color="auto" w:fill="auto"/>
            <w:tcMar>
              <w:top w:w="15" w:type="dxa"/>
              <w:left w:w="15" w:type="dxa"/>
              <w:right w:w="15" w:type="dxa"/>
            </w:tcMar>
            <w:vAlign w:val="center"/>
          </w:tcPr>
          <w:p>
            <w:pPr>
              <w:widowControl/>
              <w:spacing w:line="360" w:lineRule="exact"/>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7.7</w:t>
            </w:r>
          </w:p>
        </w:tc>
        <w:tc>
          <w:tcPr>
            <w:tcW w:w="558" w:type="dxa"/>
            <w:tcBorders>
              <w:top w:val="single" w:color="000000" w:sz="18" w:space="0"/>
              <w:bottom w:val="nil"/>
              <w:tl2br w:val="nil"/>
              <w:tr2bl w:val="nil"/>
            </w:tcBorders>
            <w:shd w:val="clear" w:color="auto" w:fill="auto"/>
            <w:noWrap/>
            <w:tcMar>
              <w:top w:w="15" w:type="dxa"/>
              <w:left w:w="15" w:type="dxa"/>
              <w:right w:w="15" w:type="dxa"/>
            </w:tcMar>
            <w:vAlign w:val="center"/>
          </w:tcPr>
          <w:p>
            <w:pPr>
              <w:widowControl/>
              <w:spacing w:line="360" w:lineRule="exact"/>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aA</w:t>
            </w:r>
          </w:p>
        </w:tc>
        <w:tc>
          <w:tcPr>
            <w:tcW w:w="497" w:type="dxa"/>
            <w:tcBorders>
              <w:top w:val="single" w:color="000000" w:sz="18" w:space="0"/>
              <w:bottom w:val="nil"/>
              <w:tl2br w:val="nil"/>
              <w:tr2bl w:val="nil"/>
            </w:tcBorders>
            <w:shd w:val="clear" w:color="auto" w:fill="auto"/>
            <w:tcMar>
              <w:top w:w="15" w:type="dxa"/>
              <w:left w:w="15" w:type="dxa"/>
              <w:right w:w="15" w:type="dxa"/>
            </w:tcMar>
            <w:vAlign w:val="center"/>
          </w:tcPr>
          <w:p>
            <w:pPr>
              <w:widowControl/>
              <w:spacing w:line="360" w:lineRule="exact"/>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4.7</w:t>
            </w:r>
          </w:p>
        </w:tc>
        <w:tc>
          <w:tcPr>
            <w:tcW w:w="559" w:type="dxa"/>
            <w:tcBorders>
              <w:top w:val="single" w:color="000000" w:sz="18" w:space="0"/>
              <w:bottom w:val="nil"/>
              <w:tl2br w:val="nil"/>
              <w:tr2bl w:val="nil"/>
            </w:tcBorders>
            <w:shd w:val="clear" w:color="auto" w:fill="auto"/>
            <w:noWrap/>
            <w:tcMar>
              <w:top w:w="15" w:type="dxa"/>
              <w:left w:w="15" w:type="dxa"/>
              <w:right w:w="15" w:type="dxa"/>
            </w:tcMar>
            <w:vAlign w:val="center"/>
          </w:tcPr>
          <w:p>
            <w:pPr>
              <w:widowControl/>
              <w:spacing w:line="360" w:lineRule="exact"/>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aA</w:t>
            </w:r>
          </w:p>
        </w:tc>
        <w:tc>
          <w:tcPr>
            <w:tcW w:w="791" w:type="dxa"/>
            <w:tcBorders>
              <w:top w:val="single" w:color="000000" w:sz="18" w:space="0"/>
              <w:bottom w:val="nil"/>
              <w:tl2br w:val="nil"/>
              <w:tr2bl w:val="nil"/>
            </w:tcBorders>
            <w:shd w:val="clear" w:color="auto" w:fill="auto"/>
            <w:tcMar>
              <w:top w:w="15" w:type="dxa"/>
              <w:left w:w="15" w:type="dxa"/>
              <w:right w:w="15" w:type="dxa"/>
            </w:tcMar>
            <w:vAlign w:val="center"/>
          </w:tcPr>
          <w:p>
            <w:pPr>
              <w:widowControl/>
              <w:spacing w:line="360" w:lineRule="exact"/>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933.3</w:t>
            </w:r>
          </w:p>
        </w:tc>
        <w:tc>
          <w:tcPr>
            <w:tcW w:w="555" w:type="dxa"/>
            <w:tcBorders>
              <w:top w:val="single" w:color="000000" w:sz="18" w:space="0"/>
              <w:bottom w:val="nil"/>
              <w:tl2br w:val="nil"/>
              <w:tr2bl w:val="nil"/>
            </w:tcBorders>
            <w:shd w:val="clear" w:color="auto" w:fill="auto"/>
            <w:noWrap/>
            <w:tcMar>
              <w:top w:w="15" w:type="dxa"/>
              <w:left w:w="15" w:type="dxa"/>
              <w:right w:w="15" w:type="dxa"/>
            </w:tcMar>
            <w:vAlign w:val="center"/>
          </w:tcPr>
          <w:p>
            <w:pPr>
              <w:widowControl/>
              <w:spacing w:line="360" w:lineRule="exact"/>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aA</w:t>
            </w:r>
          </w:p>
        </w:tc>
      </w:tr>
      <w:tr>
        <w:tblPrEx>
          <w:tblBorders>
            <w:top w:val="single" w:color="000000" w:sz="18" w:space="0"/>
            <w:left w:val="none" w:color="auto" w:sz="0" w:space="0"/>
            <w:bottom w:val="single" w:color="000000" w:sz="18"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6" w:type="dxa"/>
          <w:trHeight w:val="817" w:hRule="exact"/>
          <w:jc w:val="center"/>
        </w:trPr>
        <w:tc>
          <w:tcPr>
            <w:tcW w:w="802" w:type="dxa"/>
            <w:tcBorders>
              <w:top w:val="nil"/>
              <w:bottom w:val="nil"/>
            </w:tcBorders>
            <w:shd w:val="clear" w:color="auto" w:fill="auto"/>
            <w:tcMar>
              <w:top w:w="15" w:type="dxa"/>
              <w:left w:w="15" w:type="dxa"/>
              <w:right w:w="15" w:type="dxa"/>
            </w:tcMar>
            <w:vAlign w:val="center"/>
          </w:tcPr>
          <w:p>
            <w:pPr>
              <w:widowControl/>
              <w:spacing w:line="360" w:lineRule="exact"/>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萝卜苗</w:t>
            </w:r>
          </w:p>
        </w:tc>
        <w:tc>
          <w:tcPr>
            <w:tcW w:w="545" w:type="dxa"/>
            <w:tcBorders>
              <w:top w:val="nil"/>
              <w:bottom w:val="nil"/>
            </w:tcBorders>
            <w:shd w:val="clear" w:color="auto" w:fill="auto"/>
            <w:tcMar>
              <w:top w:w="15" w:type="dxa"/>
              <w:left w:w="15" w:type="dxa"/>
              <w:right w:w="15" w:type="dxa"/>
            </w:tcMar>
            <w:vAlign w:val="center"/>
          </w:tcPr>
          <w:p>
            <w:pPr>
              <w:widowControl/>
              <w:spacing w:line="360" w:lineRule="exact"/>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94.0</w:t>
            </w:r>
          </w:p>
        </w:tc>
        <w:tc>
          <w:tcPr>
            <w:tcW w:w="556" w:type="dxa"/>
            <w:tcBorders>
              <w:top w:val="nil"/>
              <w:bottom w:val="nil"/>
            </w:tcBorders>
            <w:shd w:val="clear" w:color="auto" w:fill="auto"/>
            <w:noWrap/>
            <w:tcMar>
              <w:top w:w="15" w:type="dxa"/>
              <w:left w:w="15" w:type="dxa"/>
              <w:right w:w="15" w:type="dxa"/>
            </w:tcMar>
            <w:vAlign w:val="center"/>
          </w:tcPr>
          <w:p>
            <w:pPr>
              <w:widowControl/>
              <w:spacing w:line="360" w:lineRule="exact"/>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aA</w:t>
            </w:r>
          </w:p>
        </w:tc>
        <w:tc>
          <w:tcPr>
            <w:tcW w:w="546" w:type="dxa"/>
            <w:tcBorders>
              <w:top w:val="nil"/>
              <w:bottom w:val="nil"/>
            </w:tcBorders>
            <w:shd w:val="clear" w:color="auto" w:fill="auto"/>
            <w:tcMar>
              <w:top w:w="15" w:type="dxa"/>
              <w:left w:w="15" w:type="dxa"/>
              <w:right w:w="15" w:type="dxa"/>
            </w:tcMar>
            <w:vAlign w:val="center"/>
          </w:tcPr>
          <w:p>
            <w:pPr>
              <w:widowControl/>
              <w:spacing w:line="360" w:lineRule="exact"/>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20.3</w:t>
            </w:r>
          </w:p>
        </w:tc>
        <w:tc>
          <w:tcPr>
            <w:tcW w:w="559" w:type="dxa"/>
            <w:tcBorders>
              <w:top w:val="nil"/>
              <w:bottom w:val="nil"/>
            </w:tcBorders>
            <w:shd w:val="clear" w:color="auto" w:fill="auto"/>
            <w:noWrap/>
            <w:tcMar>
              <w:top w:w="15" w:type="dxa"/>
              <w:left w:w="15" w:type="dxa"/>
              <w:right w:w="15" w:type="dxa"/>
            </w:tcMar>
            <w:vAlign w:val="center"/>
          </w:tcPr>
          <w:p>
            <w:pPr>
              <w:widowControl/>
              <w:spacing w:line="360" w:lineRule="exact"/>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bB</w:t>
            </w:r>
          </w:p>
        </w:tc>
        <w:tc>
          <w:tcPr>
            <w:tcW w:w="546" w:type="dxa"/>
            <w:tcBorders>
              <w:top w:val="nil"/>
              <w:bottom w:val="nil"/>
            </w:tcBorders>
            <w:shd w:val="clear" w:color="auto" w:fill="auto"/>
            <w:tcMar>
              <w:top w:w="15" w:type="dxa"/>
              <w:left w:w="15" w:type="dxa"/>
              <w:right w:w="15" w:type="dxa"/>
            </w:tcMar>
            <w:vAlign w:val="center"/>
          </w:tcPr>
          <w:p>
            <w:pPr>
              <w:widowControl/>
              <w:spacing w:line="360" w:lineRule="exact"/>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22.9</w:t>
            </w:r>
          </w:p>
        </w:tc>
        <w:tc>
          <w:tcPr>
            <w:tcW w:w="559" w:type="dxa"/>
            <w:tcBorders>
              <w:top w:val="nil"/>
              <w:bottom w:val="nil"/>
            </w:tcBorders>
            <w:shd w:val="clear" w:color="auto" w:fill="auto"/>
            <w:noWrap/>
            <w:tcMar>
              <w:top w:w="15" w:type="dxa"/>
              <w:left w:w="15" w:type="dxa"/>
              <w:right w:w="15" w:type="dxa"/>
            </w:tcMar>
            <w:vAlign w:val="center"/>
          </w:tcPr>
          <w:p>
            <w:pPr>
              <w:widowControl/>
              <w:spacing w:line="360" w:lineRule="exact"/>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bA</w:t>
            </w:r>
          </w:p>
        </w:tc>
        <w:tc>
          <w:tcPr>
            <w:tcW w:w="665" w:type="dxa"/>
            <w:tcBorders>
              <w:top w:val="nil"/>
              <w:bottom w:val="nil"/>
            </w:tcBorders>
            <w:shd w:val="clear" w:color="auto" w:fill="auto"/>
            <w:tcMar>
              <w:top w:w="15" w:type="dxa"/>
              <w:left w:w="15" w:type="dxa"/>
              <w:right w:w="15" w:type="dxa"/>
            </w:tcMar>
            <w:vAlign w:val="center"/>
          </w:tcPr>
          <w:p>
            <w:pPr>
              <w:widowControl/>
              <w:spacing w:line="360" w:lineRule="exact"/>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120.1</w:t>
            </w:r>
          </w:p>
        </w:tc>
        <w:tc>
          <w:tcPr>
            <w:tcW w:w="556" w:type="dxa"/>
            <w:tcBorders>
              <w:top w:val="nil"/>
              <w:bottom w:val="nil"/>
            </w:tcBorders>
            <w:shd w:val="clear" w:color="auto" w:fill="auto"/>
            <w:noWrap/>
            <w:tcMar>
              <w:top w:w="15" w:type="dxa"/>
              <w:left w:w="15" w:type="dxa"/>
              <w:right w:w="15" w:type="dxa"/>
            </w:tcMar>
            <w:vAlign w:val="center"/>
          </w:tcPr>
          <w:p>
            <w:pPr>
              <w:widowControl/>
              <w:spacing w:line="360" w:lineRule="exact"/>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bB</w:t>
            </w:r>
          </w:p>
        </w:tc>
        <w:tc>
          <w:tcPr>
            <w:tcW w:w="497" w:type="dxa"/>
            <w:tcBorders>
              <w:top w:val="nil"/>
              <w:bottom w:val="nil"/>
            </w:tcBorders>
            <w:shd w:val="clear" w:color="auto" w:fill="auto"/>
            <w:tcMar>
              <w:top w:w="15" w:type="dxa"/>
              <w:left w:w="15" w:type="dxa"/>
              <w:right w:w="15" w:type="dxa"/>
            </w:tcMar>
            <w:vAlign w:val="center"/>
          </w:tcPr>
          <w:p>
            <w:pPr>
              <w:widowControl/>
              <w:spacing w:line="360" w:lineRule="exact"/>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3.5</w:t>
            </w:r>
          </w:p>
        </w:tc>
        <w:tc>
          <w:tcPr>
            <w:tcW w:w="558" w:type="dxa"/>
            <w:tcBorders>
              <w:top w:val="nil"/>
              <w:bottom w:val="nil"/>
            </w:tcBorders>
            <w:shd w:val="clear" w:color="auto" w:fill="auto"/>
            <w:noWrap/>
            <w:tcMar>
              <w:top w:w="15" w:type="dxa"/>
              <w:left w:w="15" w:type="dxa"/>
              <w:right w:w="15" w:type="dxa"/>
            </w:tcMar>
            <w:vAlign w:val="center"/>
          </w:tcPr>
          <w:p>
            <w:pPr>
              <w:widowControl/>
              <w:spacing w:line="360" w:lineRule="exact"/>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cB</w:t>
            </w:r>
          </w:p>
        </w:tc>
        <w:tc>
          <w:tcPr>
            <w:tcW w:w="497" w:type="dxa"/>
            <w:tcBorders>
              <w:top w:val="nil"/>
              <w:bottom w:val="nil"/>
            </w:tcBorders>
            <w:shd w:val="clear" w:color="auto" w:fill="auto"/>
            <w:tcMar>
              <w:top w:w="15" w:type="dxa"/>
              <w:left w:w="15" w:type="dxa"/>
              <w:right w:w="15" w:type="dxa"/>
            </w:tcMar>
            <w:vAlign w:val="center"/>
          </w:tcPr>
          <w:p>
            <w:pPr>
              <w:widowControl/>
              <w:spacing w:line="360" w:lineRule="exact"/>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2.7</w:t>
            </w:r>
          </w:p>
        </w:tc>
        <w:tc>
          <w:tcPr>
            <w:tcW w:w="559" w:type="dxa"/>
            <w:tcBorders>
              <w:top w:val="nil"/>
              <w:bottom w:val="nil"/>
            </w:tcBorders>
            <w:shd w:val="clear" w:color="auto" w:fill="auto"/>
            <w:noWrap/>
            <w:tcMar>
              <w:top w:w="15" w:type="dxa"/>
              <w:left w:w="15" w:type="dxa"/>
              <w:right w:w="15" w:type="dxa"/>
            </w:tcMar>
            <w:vAlign w:val="center"/>
          </w:tcPr>
          <w:p>
            <w:pPr>
              <w:widowControl/>
              <w:spacing w:line="360" w:lineRule="exact"/>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bB</w:t>
            </w:r>
          </w:p>
        </w:tc>
        <w:tc>
          <w:tcPr>
            <w:tcW w:w="791" w:type="dxa"/>
            <w:tcBorders>
              <w:top w:val="nil"/>
              <w:bottom w:val="nil"/>
            </w:tcBorders>
            <w:shd w:val="clear" w:color="auto" w:fill="auto"/>
            <w:tcMar>
              <w:top w:w="15" w:type="dxa"/>
              <w:left w:w="15" w:type="dxa"/>
              <w:right w:w="15" w:type="dxa"/>
            </w:tcMar>
            <w:vAlign w:val="center"/>
          </w:tcPr>
          <w:p>
            <w:pPr>
              <w:widowControl/>
              <w:spacing w:line="360" w:lineRule="exact"/>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717.6</w:t>
            </w:r>
          </w:p>
        </w:tc>
        <w:tc>
          <w:tcPr>
            <w:tcW w:w="555" w:type="dxa"/>
            <w:tcBorders>
              <w:top w:val="nil"/>
              <w:bottom w:val="nil"/>
            </w:tcBorders>
            <w:shd w:val="clear" w:color="auto" w:fill="auto"/>
            <w:noWrap/>
            <w:tcMar>
              <w:top w:w="15" w:type="dxa"/>
              <w:left w:w="15" w:type="dxa"/>
              <w:right w:w="15" w:type="dxa"/>
            </w:tcMar>
            <w:vAlign w:val="center"/>
          </w:tcPr>
          <w:p>
            <w:pPr>
              <w:widowControl/>
              <w:spacing w:line="360" w:lineRule="exact"/>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bB</w:t>
            </w:r>
          </w:p>
        </w:tc>
      </w:tr>
      <w:tr>
        <w:tblPrEx>
          <w:tblBorders>
            <w:top w:val="single" w:color="000000" w:sz="18" w:space="0"/>
            <w:left w:val="none" w:color="auto" w:sz="0" w:space="0"/>
            <w:bottom w:val="single" w:color="000000" w:sz="18"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6" w:type="dxa"/>
          <w:trHeight w:val="954" w:hRule="exact"/>
          <w:jc w:val="center"/>
        </w:trPr>
        <w:tc>
          <w:tcPr>
            <w:tcW w:w="802" w:type="dxa"/>
            <w:tcBorders>
              <w:tl2br w:val="nil"/>
              <w:tr2bl w:val="nil"/>
            </w:tcBorders>
            <w:shd w:val="clear" w:color="auto" w:fill="auto"/>
            <w:tcMar>
              <w:top w:w="15" w:type="dxa"/>
              <w:left w:w="15" w:type="dxa"/>
              <w:right w:w="15" w:type="dxa"/>
            </w:tcMar>
            <w:vAlign w:val="center"/>
          </w:tcPr>
          <w:p>
            <w:pPr>
              <w:widowControl/>
              <w:spacing w:line="360" w:lineRule="exact"/>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分叉苗</w:t>
            </w:r>
          </w:p>
        </w:tc>
        <w:tc>
          <w:tcPr>
            <w:tcW w:w="545" w:type="dxa"/>
            <w:tcBorders>
              <w:tl2br w:val="nil"/>
              <w:tr2bl w:val="nil"/>
            </w:tcBorders>
            <w:shd w:val="clear" w:color="auto" w:fill="auto"/>
            <w:tcMar>
              <w:top w:w="15" w:type="dxa"/>
              <w:left w:w="15" w:type="dxa"/>
              <w:right w:w="15" w:type="dxa"/>
            </w:tcMar>
            <w:vAlign w:val="center"/>
          </w:tcPr>
          <w:p>
            <w:pPr>
              <w:widowControl/>
              <w:spacing w:line="360" w:lineRule="exact"/>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92.0</w:t>
            </w:r>
          </w:p>
        </w:tc>
        <w:tc>
          <w:tcPr>
            <w:tcW w:w="556" w:type="dxa"/>
            <w:tcBorders>
              <w:tl2br w:val="nil"/>
              <w:tr2bl w:val="nil"/>
            </w:tcBorders>
            <w:shd w:val="clear" w:color="auto" w:fill="auto"/>
            <w:noWrap/>
            <w:tcMar>
              <w:top w:w="15" w:type="dxa"/>
              <w:left w:w="15" w:type="dxa"/>
              <w:right w:w="15" w:type="dxa"/>
            </w:tcMar>
            <w:vAlign w:val="center"/>
          </w:tcPr>
          <w:p>
            <w:pPr>
              <w:widowControl/>
              <w:spacing w:line="360" w:lineRule="exact"/>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aA</w:t>
            </w:r>
          </w:p>
        </w:tc>
        <w:tc>
          <w:tcPr>
            <w:tcW w:w="546" w:type="dxa"/>
            <w:tcBorders>
              <w:tl2br w:val="nil"/>
              <w:tr2bl w:val="nil"/>
            </w:tcBorders>
            <w:shd w:val="clear" w:color="auto" w:fill="auto"/>
            <w:tcMar>
              <w:top w:w="15" w:type="dxa"/>
              <w:left w:w="15" w:type="dxa"/>
              <w:right w:w="15" w:type="dxa"/>
            </w:tcMar>
            <w:vAlign w:val="center"/>
          </w:tcPr>
          <w:p>
            <w:pPr>
              <w:widowControl/>
              <w:spacing w:line="360" w:lineRule="exact"/>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58.0</w:t>
            </w:r>
          </w:p>
        </w:tc>
        <w:tc>
          <w:tcPr>
            <w:tcW w:w="559" w:type="dxa"/>
            <w:tcBorders>
              <w:tl2br w:val="nil"/>
              <w:tr2bl w:val="nil"/>
            </w:tcBorders>
            <w:shd w:val="clear" w:color="auto" w:fill="auto"/>
            <w:noWrap/>
            <w:tcMar>
              <w:top w:w="15" w:type="dxa"/>
              <w:left w:w="15" w:type="dxa"/>
              <w:right w:w="15" w:type="dxa"/>
            </w:tcMar>
            <w:vAlign w:val="center"/>
          </w:tcPr>
          <w:p>
            <w:pPr>
              <w:widowControl/>
              <w:spacing w:line="360" w:lineRule="exact"/>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aA</w:t>
            </w:r>
          </w:p>
        </w:tc>
        <w:tc>
          <w:tcPr>
            <w:tcW w:w="546" w:type="dxa"/>
            <w:tcBorders>
              <w:tl2br w:val="nil"/>
              <w:tr2bl w:val="nil"/>
            </w:tcBorders>
            <w:shd w:val="clear" w:color="auto" w:fill="auto"/>
            <w:tcMar>
              <w:top w:w="15" w:type="dxa"/>
              <w:left w:w="15" w:type="dxa"/>
              <w:right w:w="15" w:type="dxa"/>
            </w:tcMar>
            <w:vAlign w:val="center"/>
          </w:tcPr>
          <w:p>
            <w:pPr>
              <w:widowControl/>
              <w:spacing w:line="360" w:lineRule="exact"/>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21.8</w:t>
            </w:r>
          </w:p>
        </w:tc>
        <w:tc>
          <w:tcPr>
            <w:tcW w:w="559" w:type="dxa"/>
            <w:tcBorders>
              <w:tl2br w:val="nil"/>
              <w:tr2bl w:val="nil"/>
            </w:tcBorders>
            <w:shd w:val="clear" w:color="auto" w:fill="auto"/>
            <w:noWrap/>
            <w:tcMar>
              <w:top w:w="15" w:type="dxa"/>
              <w:left w:w="15" w:type="dxa"/>
              <w:right w:w="15" w:type="dxa"/>
            </w:tcMar>
            <w:vAlign w:val="center"/>
          </w:tcPr>
          <w:p>
            <w:pPr>
              <w:widowControl/>
              <w:spacing w:line="360" w:lineRule="exact"/>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bA</w:t>
            </w:r>
          </w:p>
        </w:tc>
        <w:tc>
          <w:tcPr>
            <w:tcW w:w="665" w:type="dxa"/>
            <w:tcBorders>
              <w:tl2br w:val="nil"/>
              <w:tr2bl w:val="nil"/>
            </w:tcBorders>
            <w:shd w:val="clear" w:color="auto" w:fill="auto"/>
            <w:tcMar>
              <w:top w:w="15" w:type="dxa"/>
              <w:left w:w="15" w:type="dxa"/>
              <w:right w:w="15" w:type="dxa"/>
            </w:tcMar>
            <w:vAlign w:val="center"/>
          </w:tcPr>
          <w:p>
            <w:pPr>
              <w:widowControl/>
              <w:spacing w:line="360" w:lineRule="exact"/>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117.8</w:t>
            </w:r>
          </w:p>
        </w:tc>
        <w:tc>
          <w:tcPr>
            <w:tcW w:w="556" w:type="dxa"/>
            <w:tcBorders>
              <w:tl2br w:val="nil"/>
              <w:tr2bl w:val="nil"/>
            </w:tcBorders>
            <w:shd w:val="clear" w:color="auto" w:fill="auto"/>
            <w:noWrap/>
            <w:tcMar>
              <w:top w:w="15" w:type="dxa"/>
              <w:left w:w="15" w:type="dxa"/>
              <w:right w:w="15" w:type="dxa"/>
            </w:tcMar>
            <w:vAlign w:val="center"/>
          </w:tcPr>
          <w:p>
            <w:pPr>
              <w:widowControl/>
              <w:spacing w:line="360" w:lineRule="exact"/>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bB</w:t>
            </w:r>
          </w:p>
        </w:tc>
        <w:tc>
          <w:tcPr>
            <w:tcW w:w="497" w:type="dxa"/>
            <w:tcBorders>
              <w:tl2br w:val="nil"/>
              <w:tr2bl w:val="nil"/>
            </w:tcBorders>
            <w:shd w:val="clear" w:color="auto" w:fill="auto"/>
            <w:tcMar>
              <w:top w:w="15" w:type="dxa"/>
              <w:left w:w="15" w:type="dxa"/>
              <w:right w:w="15" w:type="dxa"/>
            </w:tcMar>
            <w:vAlign w:val="center"/>
          </w:tcPr>
          <w:p>
            <w:pPr>
              <w:widowControl/>
              <w:spacing w:line="360" w:lineRule="exact"/>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4.0</w:t>
            </w:r>
          </w:p>
        </w:tc>
        <w:tc>
          <w:tcPr>
            <w:tcW w:w="558" w:type="dxa"/>
            <w:tcBorders>
              <w:tl2br w:val="nil"/>
              <w:tr2bl w:val="nil"/>
            </w:tcBorders>
            <w:shd w:val="clear" w:color="auto" w:fill="auto"/>
            <w:noWrap/>
            <w:tcMar>
              <w:top w:w="15" w:type="dxa"/>
              <w:left w:w="15" w:type="dxa"/>
              <w:right w:w="15" w:type="dxa"/>
            </w:tcMar>
            <w:vAlign w:val="center"/>
          </w:tcPr>
          <w:p>
            <w:pPr>
              <w:widowControl/>
              <w:spacing w:line="360" w:lineRule="exact"/>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bB</w:t>
            </w:r>
          </w:p>
        </w:tc>
        <w:tc>
          <w:tcPr>
            <w:tcW w:w="497" w:type="dxa"/>
            <w:tcBorders>
              <w:tl2br w:val="nil"/>
              <w:tr2bl w:val="nil"/>
            </w:tcBorders>
            <w:shd w:val="clear" w:color="auto" w:fill="auto"/>
            <w:tcMar>
              <w:top w:w="15" w:type="dxa"/>
              <w:left w:w="15" w:type="dxa"/>
              <w:right w:w="15" w:type="dxa"/>
            </w:tcMar>
            <w:vAlign w:val="center"/>
          </w:tcPr>
          <w:p>
            <w:pPr>
              <w:widowControl/>
              <w:spacing w:line="360" w:lineRule="exact"/>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1.1</w:t>
            </w:r>
          </w:p>
        </w:tc>
        <w:tc>
          <w:tcPr>
            <w:tcW w:w="559" w:type="dxa"/>
            <w:tcBorders>
              <w:tl2br w:val="nil"/>
              <w:tr2bl w:val="nil"/>
            </w:tcBorders>
            <w:shd w:val="clear" w:color="auto" w:fill="auto"/>
            <w:noWrap/>
            <w:tcMar>
              <w:top w:w="15" w:type="dxa"/>
              <w:left w:w="15" w:type="dxa"/>
              <w:right w:w="15" w:type="dxa"/>
            </w:tcMar>
            <w:vAlign w:val="center"/>
          </w:tcPr>
          <w:p>
            <w:pPr>
              <w:widowControl/>
              <w:spacing w:line="360" w:lineRule="exact"/>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cC</w:t>
            </w:r>
          </w:p>
        </w:tc>
        <w:tc>
          <w:tcPr>
            <w:tcW w:w="791" w:type="dxa"/>
            <w:tcBorders>
              <w:tl2br w:val="nil"/>
              <w:tr2bl w:val="nil"/>
            </w:tcBorders>
            <w:shd w:val="clear" w:color="auto" w:fill="auto"/>
            <w:tcMar>
              <w:top w:w="15" w:type="dxa"/>
              <w:left w:w="15" w:type="dxa"/>
              <w:right w:w="15" w:type="dxa"/>
            </w:tcMar>
            <w:vAlign w:val="center"/>
          </w:tcPr>
          <w:p>
            <w:pPr>
              <w:widowControl/>
              <w:spacing w:line="360" w:lineRule="exact"/>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768.05</w:t>
            </w:r>
          </w:p>
        </w:tc>
        <w:tc>
          <w:tcPr>
            <w:tcW w:w="555" w:type="dxa"/>
            <w:tcBorders>
              <w:tl2br w:val="nil"/>
              <w:tr2bl w:val="nil"/>
            </w:tcBorders>
            <w:shd w:val="clear" w:color="auto" w:fill="auto"/>
            <w:noWrap/>
            <w:tcMar>
              <w:top w:w="15" w:type="dxa"/>
              <w:left w:w="15" w:type="dxa"/>
              <w:right w:w="15" w:type="dxa"/>
            </w:tcMar>
            <w:vAlign w:val="center"/>
          </w:tcPr>
          <w:p>
            <w:pPr>
              <w:widowControl/>
              <w:spacing w:line="360" w:lineRule="exact"/>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bB</w:t>
            </w:r>
          </w:p>
        </w:tc>
      </w:tr>
    </w:tbl>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试验结果表明。不同种苗形状对当归移栽后的成活率无显著影响，平均成活率达93.2%。从抽薹率看，分叉苗的抽薹率高达58.0%，比直苗高出39.2个百分点；直苗、萝卜苗之间无显著差异。</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直苗的根长最长，为26.3cm，较分叉苗、萝卜苗分别增长20.6%、14.8%；直苗的单根鲜重为193.0g，较分叉苗、萝卜苗分别增加63.8%、60.7%；归头粗为7.7cm，较萝卜苗、分叉苗增粗120.0%、92.5%；归头长为4.7cm，较分叉苗、萝卜苗增长327.2%、74.0%。影响效果极为显著。说明用直苗定值的当归主要质量性状明显较好。产量以直苗的最高，为933.3 kg /667㎡，较分叉苗、萝卜苗分别增产30.0%、21.5%%，影响效果极为显著；萝卜苗与分叉苗之间差异不显著。综上所述合格种苗应该选用直苗。</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1.4苗龄</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jc w:val="left"/>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为研究苗龄对当归抽薹率、成活率的影响，2019年开展不同苗龄试验。</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试验地点：2019年在青海互丰农业科技集团有限公司试验基地开展不同苗龄试验。</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left"/>
        <w:textAlignment w:val="auto"/>
        <w:rPr>
          <w:rFonts w:hint="default"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试验设计：试验设80d、90d、100d、110d、120d、130d六个处理，试验采用单因素随机区组设计,每个处理3次重复，每小区面积为12㎡。</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00" w:firstLineChars="200"/>
        <w:jc w:val="left"/>
        <w:textAlignment w:val="auto"/>
        <w:rPr>
          <w:rFonts w:hint="eastAsia" w:ascii="仿宋" w:hAnsi="仿宋" w:eastAsia="仿宋" w:cs="仿宋"/>
          <w:kern w:val="2"/>
          <w:sz w:val="30"/>
          <w:szCs w:val="30"/>
          <w:lang w:val="en-US" w:eastAsia="zh-CN" w:bidi="ar-SA"/>
        </w:rPr>
      </w:pPr>
      <w:r>
        <w:rPr>
          <w:rFonts w:hint="eastAsia" w:ascii="仿宋" w:hAnsi="仿宋" w:eastAsia="仿宋" w:cs="仿宋"/>
          <w:kern w:val="2"/>
          <w:sz w:val="30"/>
          <w:szCs w:val="30"/>
          <w:lang w:val="en-US" w:eastAsia="zh-CN" w:bidi="ar-SA"/>
        </w:rPr>
        <w:t>表3  苗龄对当归成活率、抽薹率及质量性状和产量的影响</w:t>
      </w:r>
    </w:p>
    <w:tbl>
      <w:tblPr>
        <w:tblStyle w:val="4"/>
        <w:tblpPr w:leftFromText="180" w:rightFromText="180" w:vertAnchor="text" w:horzAnchor="page" w:tblpXSpec="center" w:tblpY="5"/>
        <w:tblOverlap w:val="never"/>
        <w:tblW w:w="5119" w:type="pct"/>
        <w:jc w:val="center"/>
        <w:tblBorders>
          <w:top w:val="single" w:color="000000" w:sz="18" w:space="0"/>
          <w:left w:val="none" w:color="auto" w:sz="0" w:space="0"/>
          <w:bottom w:val="single" w:color="000000" w:sz="1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04"/>
        <w:gridCol w:w="586"/>
        <w:gridCol w:w="498"/>
        <w:gridCol w:w="588"/>
        <w:gridCol w:w="522"/>
        <w:gridCol w:w="574"/>
        <w:gridCol w:w="510"/>
        <w:gridCol w:w="600"/>
        <w:gridCol w:w="509"/>
        <w:gridCol w:w="587"/>
        <w:gridCol w:w="562"/>
        <w:gridCol w:w="535"/>
        <w:gridCol w:w="522"/>
        <w:gridCol w:w="690"/>
        <w:gridCol w:w="549"/>
      </w:tblGrid>
      <w:tr>
        <w:tblPrEx>
          <w:tblBorders>
            <w:top w:val="single" w:color="000000" w:sz="18" w:space="0"/>
            <w:left w:val="none" w:color="auto" w:sz="0" w:space="0"/>
            <w:bottom w:val="single" w:color="000000" w:sz="18" w:space="0"/>
            <w:right w:val="none" w:color="auto" w:sz="0" w:space="0"/>
            <w:insideH w:val="none" w:color="auto" w:sz="0" w:space="0"/>
            <w:insideV w:val="none" w:color="auto" w:sz="0" w:space="0"/>
          </w:tblBorders>
          <w:tblCellMar>
            <w:top w:w="0" w:type="dxa"/>
            <w:left w:w="0" w:type="dxa"/>
            <w:bottom w:w="0" w:type="dxa"/>
            <w:right w:w="0" w:type="dxa"/>
          </w:tblCellMar>
        </w:tblPrEx>
        <w:trPr>
          <w:trHeight w:val="1274" w:hRule="atLeast"/>
          <w:jc w:val="center"/>
        </w:trPr>
        <w:tc>
          <w:tcPr>
            <w:tcW w:w="704" w:type="dxa"/>
            <w:tcBorders>
              <w:bottom w:val="single" w:color="000000" w:sz="18" w:space="0"/>
            </w:tcBorders>
            <w:shd w:val="clear" w:color="auto" w:fill="auto"/>
            <w:noWrap/>
            <w:tcMar>
              <w:top w:w="15" w:type="dxa"/>
              <w:left w:w="15" w:type="dxa"/>
              <w:right w:w="15" w:type="dxa"/>
            </w:tcMar>
            <w:vAlign w:val="center"/>
          </w:tcPr>
          <w:p>
            <w:pPr>
              <w:spacing w:line="360" w:lineRule="exact"/>
              <w:jc w:val="center"/>
              <w:rPr>
                <w:rFonts w:hint="eastAsia" w:ascii="仿宋" w:hAnsi="仿宋" w:eastAsia="仿宋" w:cs="仿宋"/>
                <w:bCs/>
                <w:sz w:val="22"/>
                <w:szCs w:val="22"/>
              </w:rPr>
            </w:pPr>
            <w:r>
              <w:rPr>
                <w:rFonts w:hint="eastAsia" w:ascii="仿宋" w:hAnsi="仿宋" w:eastAsia="仿宋" w:cs="仿宋"/>
                <w:bCs/>
                <w:sz w:val="22"/>
                <w:szCs w:val="22"/>
              </w:rPr>
              <w:t>苗龄</w:t>
            </w:r>
          </w:p>
        </w:tc>
        <w:tc>
          <w:tcPr>
            <w:tcW w:w="1084" w:type="dxa"/>
            <w:gridSpan w:val="2"/>
            <w:tcBorders>
              <w:bottom w:val="single" w:color="000000" w:sz="18" w:space="0"/>
            </w:tcBorders>
            <w:shd w:val="clear" w:color="auto" w:fill="auto"/>
            <w:tcMar>
              <w:top w:w="15" w:type="dxa"/>
              <w:left w:w="15" w:type="dxa"/>
              <w:right w:w="15" w:type="dxa"/>
            </w:tcMar>
            <w:vAlign w:val="center"/>
          </w:tcPr>
          <w:p>
            <w:pPr>
              <w:spacing w:line="360" w:lineRule="exact"/>
              <w:jc w:val="center"/>
              <w:rPr>
                <w:rFonts w:hint="eastAsia" w:ascii="仿宋" w:hAnsi="仿宋" w:eastAsia="仿宋" w:cs="仿宋"/>
                <w:bCs/>
                <w:sz w:val="22"/>
                <w:szCs w:val="22"/>
              </w:rPr>
            </w:pPr>
            <w:r>
              <w:rPr>
                <w:rFonts w:hint="eastAsia" w:ascii="仿宋" w:hAnsi="仿宋" w:eastAsia="仿宋" w:cs="仿宋"/>
                <w:bCs/>
                <w:sz w:val="22"/>
                <w:szCs w:val="22"/>
              </w:rPr>
              <w:t>成活率</w:t>
            </w:r>
          </w:p>
          <w:p>
            <w:pPr>
              <w:spacing w:line="360" w:lineRule="exact"/>
              <w:jc w:val="center"/>
              <w:rPr>
                <w:rFonts w:hint="eastAsia" w:ascii="仿宋" w:hAnsi="仿宋" w:eastAsia="仿宋" w:cs="仿宋"/>
                <w:bCs/>
                <w:sz w:val="22"/>
                <w:szCs w:val="22"/>
              </w:rPr>
            </w:pPr>
            <w:r>
              <w:rPr>
                <w:rFonts w:hint="eastAsia" w:ascii="仿宋" w:hAnsi="仿宋" w:eastAsia="仿宋" w:cs="仿宋"/>
                <w:color w:val="000000"/>
                <w:kern w:val="0"/>
                <w:sz w:val="20"/>
                <w:szCs w:val="20"/>
              </w:rPr>
              <w:t>（%）</w:t>
            </w:r>
          </w:p>
        </w:tc>
        <w:tc>
          <w:tcPr>
            <w:tcW w:w="1110" w:type="dxa"/>
            <w:gridSpan w:val="2"/>
            <w:tcBorders>
              <w:bottom w:val="single" w:color="000000" w:sz="18" w:space="0"/>
            </w:tcBorders>
            <w:shd w:val="clear" w:color="auto" w:fill="auto"/>
            <w:tcMar>
              <w:top w:w="15" w:type="dxa"/>
              <w:left w:w="15" w:type="dxa"/>
              <w:right w:w="15" w:type="dxa"/>
            </w:tcMar>
            <w:vAlign w:val="center"/>
          </w:tcPr>
          <w:p>
            <w:pPr>
              <w:spacing w:line="360" w:lineRule="exact"/>
              <w:jc w:val="center"/>
              <w:rPr>
                <w:rFonts w:hint="eastAsia" w:ascii="仿宋" w:hAnsi="仿宋" w:eastAsia="仿宋" w:cs="仿宋"/>
                <w:bCs/>
                <w:sz w:val="22"/>
                <w:szCs w:val="22"/>
              </w:rPr>
            </w:pPr>
            <w:r>
              <w:rPr>
                <w:rFonts w:hint="eastAsia" w:ascii="仿宋" w:hAnsi="仿宋" w:eastAsia="仿宋" w:cs="仿宋"/>
                <w:bCs/>
                <w:sz w:val="22"/>
                <w:szCs w:val="22"/>
              </w:rPr>
              <w:t>抽薹率</w:t>
            </w:r>
          </w:p>
          <w:p>
            <w:pPr>
              <w:spacing w:line="360" w:lineRule="exact"/>
              <w:jc w:val="center"/>
              <w:rPr>
                <w:rFonts w:hint="eastAsia" w:ascii="仿宋" w:hAnsi="仿宋" w:eastAsia="仿宋" w:cs="仿宋"/>
                <w:bCs/>
                <w:sz w:val="22"/>
                <w:szCs w:val="22"/>
              </w:rPr>
            </w:pPr>
            <w:r>
              <w:rPr>
                <w:rFonts w:hint="eastAsia" w:ascii="仿宋" w:hAnsi="仿宋" w:eastAsia="仿宋" w:cs="仿宋"/>
                <w:color w:val="000000"/>
                <w:kern w:val="0"/>
                <w:sz w:val="20"/>
                <w:szCs w:val="20"/>
              </w:rPr>
              <w:t>（%）</w:t>
            </w:r>
          </w:p>
        </w:tc>
        <w:tc>
          <w:tcPr>
            <w:tcW w:w="1084" w:type="dxa"/>
            <w:gridSpan w:val="2"/>
            <w:tcBorders>
              <w:bottom w:val="single" w:color="000000" w:sz="18" w:space="0"/>
            </w:tcBorders>
            <w:shd w:val="clear" w:color="auto" w:fill="auto"/>
            <w:tcMar>
              <w:top w:w="15" w:type="dxa"/>
              <w:left w:w="15" w:type="dxa"/>
              <w:right w:w="15" w:type="dxa"/>
            </w:tcMar>
            <w:vAlign w:val="center"/>
          </w:tcPr>
          <w:p>
            <w:pPr>
              <w:spacing w:line="360" w:lineRule="exact"/>
              <w:jc w:val="center"/>
              <w:rPr>
                <w:rFonts w:hint="eastAsia" w:ascii="仿宋" w:hAnsi="仿宋" w:eastAsia="仿宋" w:cs="仿宋"/>
                <w:bCs/>
                <w:sz w:val="22"/>
                <w:szCs w:val="22"/>
                <w:lang w:eastAsia="zh-CN"/>
              </w:rPr>
            </w:pPr>
            <w:r>
              <w:rPr>
                <w:rFonts w:hint="eastAsia" w:ascii="仿宋" w:hAnsi="仿宋" w:eastAsia="仿宋" w:cs="仿宋"/>
                <w:bCs/>
                <w:sz w:val="22"/>
                <w:szCs w:val="22"/>
              </w:rPr>
              <w:t>根长</w:t>
            </w:r>
          </w:p>
          <w:p>
            <w:pPr>
              <w:spacing w:line="360" w:lineRule="exact"/>
              <w:jc w:val="center"/>
              <w:rPr>
                <w:rFonts w:hint="eastAsia" w:ascii="仿宋" w:hAnsi="仿宋" w:eastAsia="仿宋" w:cs="仿宋"/>
                <w:bCs/>
                <w:sz w:val="22"/>
                <w:szCs w:val="22"/>
              </w:rPr>
            </w:pPr>
            <w:r>
              <w:rPr>
                <w:rFonts w:hint="eastAsia" w:ascii="仿宋" w:hAnsi="仿宋" w:eastAsia="仿宋" w:cs="仿宋"/>
                <w:color w:val="000000"/>
                <w:kern w:val="0"/>
                <w:sz w:val="20"/>
                <w:szCs w:val="20"/>
              </w:rPr>
              <w:t>（cm）</w:t>
            </w:r>
          </w:p>
        </w:tc>
        <w:tc>
          <w:tcPr>
            <w:tcW w:w="1109" w:type="dxa"/>
            <w:gridSpan w:val="2"/>
            <w:tcBorders>
              <w:bottom w:val="single" w:color="000000" w:sz="18" w:space="0"/>
            </w:tcBorders>
            <w:shd w:val="clear" w:color="auto" w:fill="auto"/>
            <w:tcMar>
              <w:top w:w="15" w:type="dxa"/>
              <w:left w:w="15" w:type="dxa"/>
              <w:right w:w="15" w:type="dxa"/>
            </w:tcMar>
            <w:vAlign w:val="center"/>
          </w:tcPr>
          <w:p>
            <w:pPr>
              <w:spacing w:line="360" w:lineRule="exact"/>
              <w:jc w:val="center"/>
              <w:rPr>
                <w:rFonts w:hint="eastAsia" w:ascii="仿宋" w:hAnsi="仿宋" w:eastAsia="仿宋" w:cs="仿宋"/>
                <w:bCs/>
                <w:sz w:val="22"/>
                <w:szCs w:val="22"/>
              </w:rPr>
            </w:pPr>
            <w:r>
              <w:rPr>
                <w:rFonts w:hint="eastAsia" w:ascii="仿宋" w:hAnsi="仿宋" w:eastAsia="仿宋" w:cs="仿宋"/>
                <w:bCs/>
                <w:sz w:val="22"/>
                <w:szCs w:val="22"/>
              </w:rPr>
              <w:t>根鲜重</w:t>
            </w:r>
          </w:p>
          <w:p>
            <w:pPr>
              <w:spacing w:line="360" w:lineRule="exact"/>
              <w:jc w:val="center"/>
              <w:rPr>
                <w:rFonts w:hint="eastAsia" w:ascii="仿宋" w:hAnsi="仿宋" w:eastAsia="仿宋" w:cs="仿宋"/>
                <w:bCs/>
                <w:sz w:val="22"/>
                <w:szCs w:val="22"/>
              </w:rPr>
            </w:pPr>
            <w:r>
              <w:rPr>
                <w:rFonts w:hint="eastAsia" w:ascii="仿宋" w:hAnsi="仿宋" w:eastAsia="仿宋" w:cs="仿宋"/>
                <w:color w:val="000000"/>
                <w:kern w:val="0"/>
                <w:sz w:val="20"/>
                <w:szCs w:val="20"/>
              </w:rPr>
              <w:t>（g）</w:t>
            </w:r>
          </w:p>
        </w:tc>
        <w:tc>
          <w:tcPr>
            <w:tcW w:w="1149" w:type="dxa"/>
            <w:gridSpan w:val="2"/>
            <w:tcBorders>
              <w:bottom w:val="single" w:color="000000" w:sz="18" w:space="0"/>
            </w:tcBorders>
            <w:shd w:val="clear" w:color="auto" w:fill="auto"/>
            <w:tcMar>
              <w:top w:w="15" w:type="dxa"/>
              <w:left w:w="15" w:type="dxa"/>
              <w:right w:w="15" w:type="dxa"/>
            </w:tcMar>
            <w:vAlign w:val="center"/>
          </w:tcPr>
          <w:p>
            <w:pPr>
              <w:spacing w:line="360" w:lineRule="exact"/>
              <w:jc w:val="center"/>
              <w:rPr>
                <w:rFonts w:hint="eastAsia" w:ascii="仿宋" w:hAnsi="仿宋" w:eastAsia="仿宋" w:cs="仿宋"/>
                <w:bCs/>
                <w:sz w:val="22"/>
                <w:szCs w:val="22"/>
              </w:rPr>
            </w:pPr>
            <w:r>
              <w:rPr>
                <w:rFonts w:hint="eastAsia" w:ascii="仿宋" w:hAnsi="仿宋" w:eastAsia="仿宋" w:cs="仿宋"/>
                <w:bCs/>
                <w:sz w:val="22"/>
                <w:szCs w:val="22"/>
              </w:rPr>
              <w:t>归头粗</w:t>
            </w:r>
          </w:p>
          <w:p>
            <w:pPr>
              <w:spacing w:line="360" w:lineRule="exact"/>
              <w:jc w:val="center"/>
              <w:rPr>
                <w:rFonts w:hint="eastAsia" w:ascii="仿宋" w:hAnsi="仿宋" w:eastAsia="仿宋" w:cs="仿宋"/>
                <w:bCs/>
                <w:sz w:val="22"/>
                <w:szCs w:val="22"/>
              </w:rPr>
            </w:pPr>
            <w:r>
              <w:rPr>
                <w:rFonts w:hint="eastAsia" w:ascii="仿宋" w:hAnsi="仿宋" w:eastAsia="仿宋" w:cs="仿宋"/>
                <w:color w:val="000000"/>
                <w:kern w:val="0"/>
                <w:sz w:val="20"/>
                <w:szCs w:val="20"/>
              </w:rPr>
              <w:t>(cm)</w:t>
            </w:r>
          </w:p>
        </w:tc>
        <w:tc>
          <w:tcPr>
            <w:tcW w:w="1057" w:type="dxa"/>
            <w:gridSpan w:val="2"/>
            <w:tcBorders>
              <w:bottom w:val="single" w:color="000000" w:sz="18" w:space="0"/>
            </w:tcBorders>
            <w:shd w:val="clear" w:color="auto" w:fill="auto"/>
            <w:tcMar>
              <w:top w:w="15" w:type="dxa"/>
              <w:left w:w="15" w:type="dxa"/>
              <w:right w:w="15" w:type="dxa"/>
            </w:tcMar>
            <w:vAlign w:val="center"/>
          </w:tcPr>
          <w:p>
            <w:pPr>
              <w:spacing w:line="360" w:lineRule="exact"/>
              <w:jc w:val="center"/>
              <w:rPr>
                <w:rFonts w:hint="eastAsia" w:ascii="仿宋" w:hAnsi="仿宋" w:eastAsia="仿宋" w:cs="仿宋"/>
                <w:bCs/>
                <w:sz w:val="22"/>
                <w:szCs w:val="22"/>
              </w:rPr>
            </w:pPr>
            <w:r>
              <w:rPr>
                <w:rFonts w:hint="eastAsia" w:ascii="仿宋" w:hAnsi="仿宋" w:eastAsia="仿宋" w:cs="仿宋"/>
                <w:bCs/>
                <w:sz w:val="22"/>
                <w:szCs w:val="22"/>
              </w:rPr>
              <w:t>归头长</w:t>
            </w:r>
          </w:p>
          <w:p>
            <w:pPr>
              <w:spacing w:line="360" w:lineRule="exact"/>
              <w:jc w:val="center"/>
              <w:rPr>
                <w:rFonts w:hint="eastAsia" w:ascii="仿宋" w:hAnsi="仿宋" w:eastAsia="仿宋" w:cs="仿宋"/>
                <w:bCs/>
                <w:sz w:val="22"/>
                <w:szCs w:val="22"/>
              </w:rPr>
            </w:pPr>
            <w:r>
              <w:rPr>
                <w:rFonts w:hint="eastAsia" w:ascii="仿宋" w:hAnsi="仿宋" w:eastAsia="仿宋" w:cs="仿宋"/>
                <w:color w:val="000000"/>
                <w:kern w:val="0"/>
                <w:sz w:val="20"/>
                <w:szCs w:val="20"/>
              </w:rPr>
              <w:t>(cm)</w:t>
            </w:r>
          </w:p>
        </w:tc>
        <w:tc>
          <w:tcPr>
            <w:tcW w:w="1239" w:type="dxa"/>
            <w:gridSpan w:val="2"/>
            <w:tcBorders>
              <w:bottom w:val="single" w:color="000000" w:sz="18" w:space="0"/>
            </w:tcBorders>
            <w:shd w:val="clear" w:color="auto" w:fill="auto"/>
            <w:tcMar>
              <w:top w:w="15" w:type="dxa"/>
              <w:left w:w="15" w:type="dxa"/>
              <w:right w:w="15" w:type="dxa"/>
            </w:tcMar>
            <w:vAlign w:val="center"/>
          </w:tcPr>
          <w:p>
            <w:pPr>
              <w:spacing w:line="360" w:lineRule="exact"/>
              <w:jc w:val="center"/>
              <w:rPr>
                <w:rFonts w:hint="eastAsia" w:ascii="仿宋" w:hAnsi="仿宋" w:eastAsia="仿宋" w:cs="仿宋"/>
                <w:bCs/>
                <w:sz w:val="22"/>
                <w:szCs w:val="22"/>
              </w:rPr>
            </w:pPr>
            <w:r>
              <w:rPr>
                <w:rFonts w:hint="eastAsia" w:ascii="仿宋" w:hAnsi="仿宋" w:eastAsia="仿宋" w:cs="仿宋"/>
                <w:bCs/>
                <w:sz w:val="22"/>
                <w:szCs w:val="22"/>
              </w:rPr>
              <w:t>产量</w:t>
            </w:r>
          </w:p>
          <w:p>
            <w:pPr>
              <w:spacing w:line="360" w:lineRule="exact"/>
              <w:jc w:val="center"/>
              <w:rPr>
                <w:rFonts w:hint="eastAsia" w:ascii="仿宋" w:hAnsi="仿宋" w:eastAsia="仿宋" w:cs="仿宋"/>
                <w:bCs/>
                <w:sz w:val="22"/>
                <w:szCs w:val="22"/>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eastAsia="zh-CN"/>
              </w:rPr>
              <w:t>kg</w:t>
            </w:r>
            <w:r>
              <w:rPr>
                <w:rFonts w:hint="eastAsia" w:ascii="仿宋" w:hAnsi="仿宋" w:eastAsia="仿宋" w:cs="仿宋"/>
                <w:color w:val="000000"/>
                <w:kern w:val="0"/>
                <w:sz w:val="20"/>
                <w:szCs w:val="20"/>
              </w:rPr>
              <w:t xml:space="preserve"> /667㎡）</w:t>
            </w:r>
          </w:p>
        </w:tc>
      </w:tr>
      <w:tr>
        <w:tblPrEx>
          <w:tblBorders>
            <w:top w:val="single" w:color="000000" w:sz="18" w:space="0"/>
            <w:left w:val="none" w:color="auto" w:sz="0" w:space="0"/>
            <w:bottom w:val="single" w:color="000000" w:sz="18" w:space="0"/>
            <w:right w:val="none" w:color="auto" w:sz="0" w:space="0"/>
            <w:insideH w:val="none" w:color="auto" w:sz="0" w:space="0"/>
            <w:insideV w:val="none" w:color="auto" w:sz="0" w:space="0"/>
          </w:tblBorders>
          <w:tblCellMar>
            <w:top w:w="0" w:type="dxa"/>
            <w:left w:w="0" w:type="dxa"/>
            <w:bottom w:w="0" w:type="dxa"/>
            <w:right w:w="0" w:type="dxa"/>
          </w:tblCellMar>
        </w:tblPrEx>
        <w:trPr>
          <w:trHeight w:val="878" w:hRule="atLeast"/>
          <w:jc w:val="center"/>
        </w:trPr>
        <w:tc>
          <w:tcPr>
            <w:tcW w:w="704" w:type="dxa"/>
            <w:tcBorders>
              <w:top w:val="single" w:color="000000" w:sz="18" w:space="0"/>
              <w:tl2br w:val="nil"/>
              <w:tr2bl w:val="nil"/>
            </w:tcBorders>
            <w:shd w:val="clear" w:color="auto" w:fill="auto"/>
            <w:tcMar>
              <w:top w:w="15" w:type="dxa"/>
              <w:left w:w="15" w:type="dxa"/>
              <w:right w:w="15" w:type="dxa"/>
            </w:tcMar>
            <w:vAlign w:val="center"/>
          </w:tcPr>
          <w:p>
            <w:pPr>
              <w:widowControl/>
              <w:spacing w:line="440" w:lineRule="exact"/>
              <w:ind w:right="105"/>
              <w:jc w:val="right"/>
              <w:textAlignment w:val="center"/>
              <w:rPr>
                <w:rFonts w:hint="eastAsia" w:ascii="仿宋" w:hAnsi="仿宋" w:eastAsia="仿宋" w:cs="仿宋"/>
                <w:color w:val="000000"/>
                <w:kern w:val="0"/>
                <w:sz w:val="22"/>
                <w:szCs w:val="22"/>
              </w:rPr>
            </w:pPr>
            <w:r>
              <w:rPr>
                <w:rFonts w:hint="eastAsia" w:ascii="仿宋" w:hAnsi="仿宋" w:eastAsia="仿宋" w:cs="仿宋"/>
                <w:color w:val="000000"/>
                <w:kern w:val="0"/>
                <w:sz w:val="22"/>
                <w:szCs w:val="22"/>
              </w:rPr>
              <w:t>80d</w:t>
            </w:r>
          </w:p>
        </w:tc>
        <w:tc>
          <w:tcPr>
            <w:tcW w:w="586" w:type="dxa"/>
            <w:tcBorders>
              <w:top w:val="single" w:color="000000" w:sz="18" w:space="0"/>
              <w:tl2br w:val="nil"/>
              <w:tr2bl w:val="nil"/>
            </w:tcBorders>
            <w:shd w:val="clear" w:color="auto" w:fill="auto"/>
            <w:tcMar>
              <w:top w:w="15" w:type="dxa"/>
              <w:left w:w="15" w:type="dxa"/>
              <w:right w:w="15" w:type="dxa"/>
            </w:tcMar>
            <w:vAlign w:val="center"/>
          </w:tcPr>
          <w:p>
            <w:pPr>
              <w:widowControl/>
              <w:spacing w:line="440" w:lineRule="exact"/>
              <w:jc w:val="right"/>
              <w:textAlignment w:val="center"/>
              <w:rPr>
                <w:rFonts w:hint="eastAsia" w:ascii="仿宋" w:hAnsi="仿宋" w:eastAsia="仿宋" w:cs="仿宋"/>
                <w:color w:val="000000"/>
                <w:kern w:val="0"/>
                <w:sz w:val="22"/>
                <w:szCs w:val="22"/>
              </w:rPr>
            </w:pPr>
            <w:r>
              <w:rPr>
                <w:rFonts w:hint="eastAsia" w:ascii="仿宋" w:hAnsi="仿宋" w:eastAsia="仿宋" w:cs="仿宋"/>
                <w:color w:val="000000"/>
                <w:kern w:val="0"/>
                <w:sz w:val="22"/>
                <w:szCs w:val="22"/>
              </w:rPr>
              <w:t>83.3</w:t>
            </w:r>
          </w:p>
        </w:tc>
        <w:tc>
          <w:tcPr>
            <w:tcW w:w="498" w:type="dxa"/>
            <w:tcBorders>
              <w:top w:val="single" w:color="000000" w:sz="18" w:space="0"/>
              <w:tl2br w:val="nil"/>
              <w:tr2bl w:val="nil"/>
            </w:tcBorders>
            <w:shd w:val="clear" w:color="auto" w:fill="auto"/>
            <w:noWrap/>
            <w:tcMar>
              <w:top w:w="15" w:type="dxa"/>
              <w:left w:w="15" w:type="dxa"/>
              <w:right w:w="15" w:type="dxa"/>
            </w:tcMar>
            <w:vAlign w:val="center"/>
          </w:tcPr>
          <w:p>
            <w:pPr>
              <w:widowControl/>
              <w:spacing w:line="440" w:lineRule="exact"/>
              <w:jc w:val="left"/>
              <w:textAlignment w:val="center"/>
              <w:rPr>
                <w:rFonts w:hint="eastAsia" w:ascii="仿宋" w:hAnsi="仿宋" w:eastAsia="仿宋" w:cs="仿宋"/>
                <w:color w:val="000000"/>
                <w:kern w:val="0"/>
                <w:sz w:val="22"/>
                <w:szCs w:val="22"/>
              </w:rPr>
            </w:pPr>
            <w:r>
              <w:rPr>
                <w:rFonts w:hint="eastAsia" w:ascii="仿宋" w:hAnsi="仿宋" w:eastAsia="仿宋" w:cs="仿宋"/>
                <w:color w:val="000000"/>
                <w:kern w:val="0"/>
                <w:sz w:val="22"/>
                <w:szCs w:val="22"/>
              </w:rPr>
              <w:t>dD</w:t>
            </w:r>
          </w:p>
        </w:tc>
        <w:tc>
          <w:tcPr>
            <w:tcW w:w="588" w:type="dxa"/>
            <w:tcBorders>
              <w:top w:val="single" w:color="000000" w:sz="18" w:space="0"/>
              <w:tl2br w:val="nil"/>
              <w:tr2bl w:val="nil"/>
            </w:tcBorders>
            <w:shd w:val="clear" w:color="auto" w:fill="auto"/>
            <w:tcMar>
              <w:top w:w="15" w:type="dxa"/>
              <w:left w:w="15" w:type="dxa"/>
              <w:right w:w="15" w:type="dxa"/>
            </w:tcMar>
            <w:vAlign w:val="center"/>
          </w:tcPr>
          <w:p>
            <w:pPr>
              <w:widowControl/>
              <w:spacing w:line="440" w:lineRule="exact"/>
              <w:jc w:val="right"/>
              <w:textAlignment w:val="center"/>
              <w:rPr>
                <w:rFonts w:hint="eastAsia" w:ascii="仿宋" w:hAnsi="仿宋" w:eastAsia="仿宋" w:cs="仿宋"/>
                <w:color w:val="000000"/>
                <w:kern w:val="0"/>
                <w:sz w:val="22"/>
                <w:szCs w:val="22"/>
              </w:rPr>
            </w:pPr>
            <w:r>
              <w:rPr>
                <w:rFonts w:hint="eastAsia" w:ascii="仿宋" w:hAnsi="仿宋" w:eastAsia="仿宋" w:cs="仿宋"/>
                <w:color w:val="000000"/>
                <w:kern w:val="0"/>
                <w:sz w:val="22"/>
                <w:szCs w:val="22"/>
              </w:rPr>
              <w:t>13.3</w:t>
            </w:r>
          </w:p>
        </w:tc>
        <w:tc>
          <w:tcPr>
            <w:tcW w:w="522" w:type="dxa"/>
            <w:tcBorders>
              <w:top w:val="single" w:color="000000" w:sz="18" w:space="0"/>
              <w:tl2br w:val="nil"/>
              <w:tr2bl w:val="nil"/>
            </w:tcBorders>
            <w:shd w:val="clear" w:color="auto" w:fill="auto"/>
            <w:noWrap/>
            <w:tcMar>
              <w:top w:w="15" w:type="dxa"/>
              <w:left w:w="15" w:type="dxa"/>
              <w:right w:w="15" w:type="dxa"/>
            </w:tcMar>
            <w:vAlign w:val="center"/>
          </w:tcPr>
          <w:p>
            <w:pPr>
              <w:widowControl/>
              <w:spacing w:line="440" w:lineRule="exact"/>
              <w:jc w:val="left"/>
              <w:textAlignment w:val="center"/>
              <w:rPr>
                <w:rFonts w:hint="eastAsia" w:ascii="仿宋" w:hAnsi="仿宋" w:eastAsia="仿宋" w:cs="仿宋"/>
                <w:color w:val="000000"/>
                <w:kern w:val="0"/>
                <w:sz w:val="22"/>
                <w:szCs w:val="22"/>
              </w:rPr>
            </w:pPr>
            <w:r>
              <w:rPr>
                <w:rFonts w:hint="eastAsia" w:ascii="仿宋" w:hAnsi="仿宋" w:eastAsia="仿宋" w:cs="仿宋"/>
                <w:color w:val="000000"/>
                <w:kern w:val="0"/>
                <w:sz w:val="22"/>
                <w:szCs w:val="22"/>
                <w:lang w:val="en-US" w:eastAsia="zh-CN"/>
              </w:rPr>
              <w:t>dD</w:t>
            </w:r>
          </w:p>
        </w:tc>
        <w:tc>
          <w:tcPr>
            <w:tcW w:w="574" w:type="dxa"/>
            <w:tcBorders>
              <w:top w:val="single" w:color="000000" w:sz="18" w:space="0"/>
              <w:tl2br w:val="nil"/>
              <w:tr2bl w:val="nil"/>
            </w:tcBorders>
            <w:shd w:val="clear" w:color="auto" w:fill="auto"/>
            <w:tcMar>
              <w:top w:w="15" w:type="dxa"/>
              <w:left w:w="15" w:type="dxa"/>
              <w:right w:w="15" w:type="dxa"/>
            </w:tcMar>
            <w:vAlign w:val="center"/>
          </w:tcPr>
          <w:p>
            <w:pPr>
              <w:widowControl/>
              <w:spacing w:line="440" w:lineRule="exact"/>
              <w:jc w:val="right"/>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rPr>
              <w:t>20.7</w:t>
            </w:r>
          </w:p>
        </w:tc>
        <w:tc>
          <w:tcPr>
            <w:tcW w:w="510" w:type="dxa"/>
            <w:tcBorders>
              <w:top w:val="single" w:color="000000" w:sz="18" w:space="0"/>
              <w:tl2br w:val="nil"/>
              <w:tr2bl w:val="nil"/>
            </w:tcBorders>
            <w:shd w:val="clear" w:color="auto" w:fill="auto"/>
            <w:noWrap/>
            <w:tcMar>
              <w:top w:w="15" w:type="dxa"/>
              <w:left w:w="15" w:type="dxa"/>
              <w:right w:w="15" w:type="dxa"/>
            </w:tcMar>
            <w:vAlign w:val="center"/>
          </w:tcPr>
          <w:p>
            <w:pPr>
              <w:widowControl/>
              <w:spacing w:line="440" w:lineRule="exact"/>
              <w:jc w:val="left"/>
              <w:textAlignment w:val="center"/>
              <w:rPr>
                <w:rFonts w:hint="eastAsia" w:ascii="仿宋" w:hAnsi="仿宋" w:eastAsia="仿宋" w:cs="仿宋"/>
                <w:color w:val="000000"/>
                <w:sz w:val="24"/>
                <w:szCs w:val="28"/>
              </w:rPr>
            </w:pPr>
            <w:r>
              <w:rPr>
                <w:rFonts w:hint="eastAsia" w:ascii="仿宋" w:hAnsi="仿宋" w:eastAsia="仿宋" w:cs="仿宋"/>
                <w:color w:val="000000"/>
                <w:kern w:val="0"/>
                <w:sz w:val="24"/>
                <w:szCs w:val="28"/>
              </w:rPr>
              <w:t>aA</w:t>
            </w:r>
          </w:p>
        </w:tc>
        <w:tc>
          <w:tcPr>
            <w:tcW w:w="600" w:type="dxa"/>
            <w:tcBorders>
              <w:top w:val="single" w:color="000000" w:sz="18" w:space="0"/>
              <w:tl2br w:val="nil"/>
              <w:tr2bl w:val="nil"/>
            </w:tcBorders>
            <w:shd w:val="clear" w:color="auto" w:fill="auto"/>
            <w:tcMar>
              <w:top w:w="15" w:type="dxa"/>
              <w:left w:w="15" w:type="dxa"/>
              <w:right w:w="15" w:type="dxa"/>
            </w:tcMar>
            <w:vAlign w:val="center"/>
          </w:tcPr>
          <w:p>
            <w:pPr>
              <w:widowControl/>
              <w:spacing w:line="440" w:lineRule="exact"/>
              <w:jc w:val="right"/>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rPr>
              <w:t>117.8</w:t>
            </w:r>
          </w:p>
        </w:tc>
        <w:tc>
          <w:tcPr>
            <w:tcW w:w="509" w:type="dxa"/>
            <w:tcBorders>
              <w:top w:val="single" w:color="000000" w:sz="18" w:space="0"/>
              <w:tl2br w:val="nil"/>
              <w:tr2bl w:val="nil"/>
            </w:tcBorders>
            <w:shd w:val="clear" w:color="auto" w:fill="auto"/>
            <w:noWrap/>
            <w:tcMar>
              <w:top w:w="15" w:type="dxa"/>
              <w:left w:w="15" w:type="dxa"/>
              <w:right w:w="15" w:type="dxa"/>
            </w:tcMar>
            <w:vAlign w:val="center"/>
          </w:tcPr>
          <w:p>
            <w:pPr>
              <w:widowControl/>
              <w:spacing w:line="440" w:lineRule="exact"/>
              <w:jc w:val="left"/>
              <w:textAlignment w:val="center"/>
              <w:rPr>
                <w:rFonts w:hint="eastAsia" w:ascii="仿宋" w:hAnsi="仿宋" w:eastAsia="仿宋" w:cs="仿宋"/>
                <w:color w:val="000000"/>
                <w:sz w:val="24"/>
                <w:szCs w:val="28"/>
              </w:rPr>
            </w:pPr>
            <w:r>
              <w:rPr>
                <w:rFonts w:hint="eastAsia" w:ascii="仿宋" w:hAnsi="仿宋" w:eastAsia="仿宋" w:cs="仿宋"/>
                <w:color w:val="000000"/>
                <w:kern w:val="0"/>
                <w:sz w:val="24"/>
                <w:szCs w:val="28"/>
              </w:rPr>
              <w:t>cC</w:t>
            </w:r>
          </w:p>
        </w:tc>
        <w:tc>
          <w:tcPr>
            <w:tcW w:w="587" w:type="dxa"/>
            <w:tcBorders>
              <w:top w:val="single" w:color="000000" w:sz="18" w:space="0"/>
              <w:tl2br w:val="nil"/>
              <w:tr2bl w:val="nil"/>
            </w:tcBorders>
            <w:shd w:val="clear" w:color="auto" w:fill="auto"/>
            <w:tcMar>
              <w:top w:w="15" w:type="dxa"/>
              <w:left w:w="15" w:type="dxa"/>
              <w:right w:w="15" w:type="dxa"/>
            </w:tcMar>
            <w:vAlign w:val="center"/>
          </w:tcPr>
          <w:p>
            <w:pPr>
              <w:widowControl/>
              <w:spacing w:line="440" w:lineRule="exact"/>
              <w:jc w:val="right"/>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rPr>
              <w:t>2.1</w:t>
            </w:r>
          </w:p>
        </w:tc>
        <w:tc>
          <w:tcPr>
            <w:tcW w:w="562" w:type="dxa"/>
            <w:tcBorders>
              <w:top w:val="single" w:color="000000" w:sz="18" w:space="0"/>
              <w:tl2br w:val="nil"/>
              <w:tr2bl w:val="nil"/>
            </w:tcBorders>
            <w:shd w:val="clear" w:color="auto" w:fill="auto"/>
            <w:noWrap/>
            <w:tcMar>
              <w:top w:w="15" w:type="dxa"/>
              <w:left w:w="15" w:type="dxa"/>
              <w:right w:w="15" w:type="dxa"/>
            </w:tcMar>
            <w:vAlign w:val="center"/>
          </w:tcPr>
          <w:p>
            <w:pPr>
              <w:widowControl/>
              <w:spacing w:line="440" w:lineRule="exact"/>
              <w:jc w:val="left"/>
              <w:textAlignment w:val="center"/>
              <w:rPr>
                <w:rFonts w:hint="eastAsia" w:ascii="仿宋" w:hAnsi="仿宋" w:eastAsia="仿宋" w:cs="仿宋"/>
                <w:color w:val="000000"/>
                <w:sz w:val="24"/>
                <w:szCs w:val="28"/>
              </w:rPr>
            </w:pPr>
            <w:r>
              <w:rPr>
                <w:rFonts w:hint="eastAsia" w:ascii="仿宋" w:hAnsi="仿宋" w:eastAsia="仿宋" w:cs="仿宋"/>
                <w:color w:val="000000"/>
                <w:kern w:val="0"/>
                <w:sz w:val="24"/>
                <w:szCs w:val="28"/>
              </w:rPr>
              <w:t>bB</w:t>
            </w:r>
          </w:p>
        </w:tc>
        <w:tc>
          <w:tcPr>
            <w:tcW w:w="535" w:type="dxa"/>
            <w:tcBorders>
              <w:top w:val="single" w:color="000000" w:sz="18" w:space="0"/>
              <w:tl2br w:val="nil"/>
              <w:tr2bl w:val="nil"/>
            </w:tcBorders>
            <w:shd w:val="clear" w:color="auto" w:fill="auto"/>
            <w:tcMar>
              <w:top w:w="15" w:type="dxa"/>
              <w:left w:w="15" w:type="dxa"/>
              <w:right w:w="15" w:type="dxa"/>
            </w:tcMar>
            <w:vAlign w:val="center"/>
          </w:tcPr>
          <w:p>
            <w:pPr>
              <w:widowControl/>
              <w:spacing w:line="440" w:lineRule="exact"/>
              <w:jc w:val="right"/>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rPr>
              <w:t xml:space="preserve"> 1.9</w:t>
            </w:r>
          </w:p>
        </w:tc>
        <w:tc>
          <w:tcPr>
            <w:tcW w:w="522" w:type="dxa"/>
            <w:tcBorders>
              <w:top w:val="single" w:color="000000" w:sz="18" w:space="0"/>
              <w:tl2br w:val="nil"/>
              <w:tr2bl w:val="nil"/>
            </w:tcBorders>
            <w:shd w:val="clear" w:color="auto" w:fill="auto"/>
            <w:noWrap/>
            <w:tcMar>
              <w:top w:w="15" w:type="dxa"/>
              <w:left w:w="15" w:type="dxa"/>
              <w:right w:w="15" w:type="dxa"/>
            </w:tcMar>
            <w:vAlign w:val="center"/>
          </w:tcPr>
          <w:p>
            <w:pPr>
              <w:widowControl/>
              <w:spacing w:line="440" w:lineRule="exact"/>
              <w:jc w:val="left"/>
              <w:textAlignment w:val="center"/>
              <w:rPr>
                <w:rFonts w:hint="eastAsia" w:ascii="仿宋" w:hAnsi="仿宋" w:eastAsia="仿宋" w:cs="仿宋"/>
                <w:color w:val="000000"/>
                <w:sz w:val="24"/>
                <w:szCs w:val="28"/>
              </w:rPr>
            </w:pPr>
            <w:r>
              <w:rPr>
                <w:rFonts w:hint="eastAsia" w:ascii="仿宋" w:hAnsi="仿宋" w:eastAsia="仿宋" w:cs="仿宋"/>
                <w:color w:val="000000"/>
                <w:kern w:val="0"/>
                <w:sz w:val="24"/>
                <w:szCs w:val="28"/>
              </w:rPr>
              <w:t>cC</w:t>
            </w:r>
          </w:p>
        </w:tc>
        <w:tc>
          <w:tcPr>
            <w:tcW w:w="690" w:type="dxa"/>
            <w:tcBorders>
              <w:top w:val="single" w:color="000000" w:sz="18" w:space="0"/>
              <w:tl2br w:val="nil"/>
              <w:tr2bl w:val="nil"/>
            </w:tcBorders>
            <w:shd w:val="clear" w:color="auto" w:fill="auto"/>
            <w:tcMar>
              <w:top w:w="15" w:type="dxa"/>
              <w:left w:w="15" w:type="dxa"/>
              <w:right w:w="15" w:type="dxa"/>
            </w:tcMar>
            <w:vAlign w:val="center"/>
          </w:tcPr>
          <w:p>
            <w:pPr>
              <w:widowControl/>
              <w:spacing w:line="440" w:lineRule="exact"/>
              <w:jc w:val="right"/>
              <w:textAlignment w:val="center"/>
              <w:rPr>
                <w:rFonts w:hint="eastAsia" w:ascii="仿宋" w:hAnsi="仿宋" w:eastAsia="仿宋" w:cs="仿宋"/>
                <w:color w:val="000000"/>
                <w:kern w:val="0"/>
                <w:sz w:val="22"/>
                <w:szCs w:val="22"/>
              </w:rPr>
            </w:pPr>
            <w:r>
              <w:rPr>
                <w:rFonts w:hint="eastAsia" w:ascii="仿宋" w:hAnsi="仿宋" w:eastAsia="仿宋" w:cs="仿宋"/>
                <w:color w:val="000000"/>
                <w:kern w:val="0"/>
                <w:sz w:val="22"/>
                <w:szCs w:val="22"/>
              </w:rPr>
              <w:t>628.5</w:t>
            </w:r>
          </w:p>
        </w:tc>
        <w:tc>
          <w:tcPr>
            <w:tcW w:w="549" w:type="dxa"/>
            <w:tcBorders>
              <w:top w:val="single" w:color="000000" w:sz="18" w:space="0"/>
              <w:tl2br w:val="nil"/>
              <w:tr2bl w:val="nil"/>
            </w:tcBorders>
            <w:shd w:val="clear" w:color="auto" w:fill="auto"/>
            <w:noWrap/>
            <w:tcMar>
              <w:top w:w="15" w:type="dxa"/>
              <w:left w:w="15" w:type="dxa"/>
              <w:right w:w="15" w:type="dxa"/>
            </w:tcMar>
            <w:vAlign w:val="center"/>
          </w:tcPr>
          <w:p>
            <w:pPr>
              <w:widowControl/>
              <w:spacing w:line="440" w:lineRule="exact"/>
              <w:jc w:val="left"/>
              <w:textAlignment w:val="center"/>
              <w:rPr>
                <w:rFonts w:hint="eastAsia" w:ascii="仿宋" w:hAnsi="仿宋" w:eastAsia="仿宋" w:cs="仿宋"/>
                <w:color w:val="000000"/>
                <w:kern w:val="0"/>
                <w:sz w:val="22"/>
                <w:szCs w:val="22"/>
              </w:rPr>
            </w:pPr>
            <w:r>
              <w:rPr>
                <w:rFonts w:hint="eastAsia" w:ascii="仿宋" w:hAnsi="仿宋" w:eastAsia="仿宋" w:cs="仿宋"/>
                <w:color w:val="000000"/>
                <w:kern w:val="0"/>
                <w:sz w:val="22"/>
                <w:szCs w:val="22"/>
              </w:rPr>
              <w:t>cC</w:t>
            </w:r>
          </w:p>
        </w:tc>
      </w:tr>
      <w:tr>
        <w:tblPrEx>
          <w:tblBorders>
            <w:top w:val="single" w:color="000000" w:sz="18" w:space="0"/>
            <w:left w:val="none" w:color="auto" w:sz="0" w:space="0"/>
            <w:bottom w:val="single" w:color="000000" w:sz="18" w:space="0"/>
            <w:right w:val="none" w:color="auto" w:sz="0" w:space="0"/>
            <w:insideH w:val="none" w:color="auto" w:sz="0" w:space="0"/>
            <w:insideV w:val="none" w:color="auto" w:sz="0" w:space="0"/>
          </w:tblBorders>
          <w:tblCellMar>
            <w:top w:w="0" w:type="dxa"/>
            <w:left w:w="0" w:type="dxa"/>
            <w:bottom w:w="0" w:type="dxa"/>
            <w:right w:w="0" w:type="dxa"/>
          </w:tblCellMar>
        </w:tblPrEx>
        <w:trPr>
          <w:trHeight w:val="723" w:hRule="atLeast"/>
          <w:jc w:val="center"/>
        </w:trPr>
        <w:tc>
          <w:tcPr>
            <w:tcW w:w="704" w:type="dxa"/>
            <w:tcBorders>
              <w:tl2br w:val="nil"/>
              <w:tr2bl w:val="nil"/>
            </w:tcBorders>
            <w:shd w:val="clear" w:color="auto" w:fill="auto"/>
            <w:tcMar>
              <w:top w:w="15" w:type="dxa"/>
              <w:left w:w="15" w:type="dxa"/>
              <w:right w:w="15" w:type="dxa"/>
            </w:tcMar>
            <w:vAlign w:val="center"/>
          </w:tcPr>
          <w:p>
            <w:pPr>
              <w:widowControl/>
              <w:spacing w:line="440" w:lineRule="exact"/>
              <w:ind w:right="105"/>
              <w:jc w:val="right"/>
              <w:textAlignment w:val="center"/>
              <w:rPr>
                <w:rFonts w:hint="eastAsia" w:ascii="仿宋" w:hAnsi="仿宋" w:eastAsia="仿宋" w:cs="仿宋"/>
                <w:color w:val="000000"/>
                <w:kern w:val="0"/>
                <w:sz w:val="22"/>
                <w:szCs w:val="22"/>
              </w:rPr>
            </w:pPr>
            <w:r>
              <w:rPr>
                <w:rFonts w:hint="eastAsia" w:ascii="仿宋" w:hAnsi="仿宋" w:eastAsia="仿宋" w:cs="仿宋"/>
                <w:color w:val="000000"/>
                <w:kern w:val="0"/>
                <w:sz w:val="22"/>
                <w:szCs w:val="22"/>
              </w:rPr>
              <w:t>90d</w:t>
            </w:r>
          </w:p>
        </w:tc>
        <w:tc>
          <w:tcPr>
            <w:tcW w:w="586" w:type="dxa"/>
            <w:tcBorders>
              <w:tl2br w:val="nil"/>
              <w:tr2bl w:val="nil"/>
            </w:tcBorders>
            <w:shd w:val="clear" w:color="auto" w:fill="auto"/>
            <w:tcMar>
              <w:top w:w="15" w:type="dxa"/>
              <w:left w:w="15" w:type="dxa"/>
              <w:right w:w="15" w:type="dxa"/>
            </w:tcMar>
            <w:vAlign w:val="center"/>
          </w:tcPr>
          <w:p>
            <w:pPr>
              <w:widowControl/>
              <w:spacing w:line="440" w:lineRule="exact"/>
              <w:jc w:val="right"/>
              <w:textAlignment w:val="center"/>
              <w:rPr>
                <w:rFonts w:hint="eastAsia" w:ascii="仿宋" w:hAnsi="仿宋" w:eastAsia="仿宋" w:cs="仿宋"/>
                <w:color w:val="000000"/>
                <w:kern w:val="0"/>
                <w:sz w:val="22"/>
                <w:szCs w:val="22"/>
              </w:rPr>
            </w:pPr>
            <w:r>
              <w:rPr>
                <w:rFonts w:hint="eastAsia" w:ascii="仿宋" w:hAnsi="仿宋" w:eastAsia="仿宋" w:cs="仿宋"/>
                <w:color w:val="000000"/>
                <w:kern w:val="0"/>
                <w:sz w:val="22"/>
                <w:szCs w:val="22"/>
              </w:rPr>
              <w:t>90.5</w:t>
            </w:r>
          </w:p>
        </w:tc>
        <w:tc>
          <w:tcPr>
            <w:tcW w:w="498" w:type="dxa"/>
            <w:tcBorders>
              <w:tl2br w:val="nil"/>
              <w:tr2bl w:val="nil"/>
            </w:tcBorders>
            <w:shd w:val="clear" w:color="auto" w:fill="auto"/>
            <w:noWrap/>
            <w:tcMar>
              <w:top w:w="15" w:type="dxa"/>
              <w:left w:w="15" w:type="dxa"/>
              <w:right w:w="15" w:type="dxa"/>
            </w:tcMar>
            <w:vAlign w:val="center"/>
          </w:tcPr>
          <w:p>
            <w:pPr>
              <w:widowControl/>
              <w:spacing w:line="440" w:lineRule="exact"/>
              <w:jc w:val="left"/>
              <w:textAlignment w:val="center"/>
              <w:rPr>
                <w:rFonts w:hint="eastAsia" w:ascii="仿宋" w:hAnsi="仿宋" w:eastAsia="仿宋" w:cs="仿宋"/>
                <w:color w:val="000000"/>
                <w:kern w:val="0"/>
                <w:sz w:val="22"/>
                <w:szCs w:val="22"/>
              </w:rPr>
            </w:pPr>
            <w:r>
              <w:rPr>
                <w:rFonts w:hint="eastAsia" w:ascii="仿宋" w:hAnsi="仿宋" w:eastAsia="仿宋" w:cs="仿宋"/>
                <w:color w:val="000000"/>
                <w:kern w:val="0"/>
                <w:sz w:val="22"/>
                <w:szCs w:val="22"/>
              </w:rPr>
              <w:t>cC</w:t>
            </w:r>
          </w:p>
        </w:tc>
        <w:tc>
          <w:tcPr>
            <w:tcW w:w="588" w:type="dxa"/>
            <w:tcBorders>
              <w:tl2br w:val="nil"/>
              <w:tr2bl w:val="nil"/>
            </w:tcBorders>
            <w:shd w:val="clear" w:color="auto" w:fill="auto"/>
            <w:tcMar>
              <w:top w:w="15" w:type="dxa"/>
              <w:left w:w="15" w:type="dxa"/>
              <w:right w:w="15" w:type="dxa"/>
            </w:tcMar>
            <w:vAlign w:val="center"/>
          </w:tcPr>
          <w:p>
            <w:pPr>
              <w:widowControl/>
              <w:spacing w:line="440" w:lineRule="exact"/>
              <w:jc w:val="right"/>
              <w:textAlignment w:val="center"/>
              <w:rPr>
                <w:rFonts w:hint="eastAsia" w:ascii="仿宋" w:hAnsi="仿宋" w:eastAsia="仿宋" w:cs="仿宋"/>
                <w:color w:val="000000"/>
                <w:kern w:val="0"/>
                <w:sz w:val="22"/>
                <w:szCs w:val="22"/>
              </w:rPr>
            </w:pPr>
            <w:r>
              <w:rPr>
                <w:rFonts w:hint="eastAsia" w:ascii="仿宋" w:hAnsi="仿宋" w:eastAsia="仿宋" w:cs="仿宋"/>
                <w:color w:val="000000"/>
                <w:kern w:val="0"/>
                <w:sz w:val="22"/>
                <w:szCs w:val="22"/>
              </w:rPr>
              <w:t>14.1</w:t>
            </w:r>
          </w:p>
        </w:tc>
        <w:tc>
          <w:tcPr>
            <w:tcW w:w="522" w:type="dxa"/>
            <w:tcBorders>
              <w:tl2br w:val="nil"/>
              <w:tr2bl w:val="nil"/>
            </w:tcBorders>
            <w:shd w:val="clear" w:color="auto" w:fill="auto"/>
            <w:noWrap/>
            <w:tcMar>
              <w:top w:w="15" w:type="dxa"/>
              <w:left w:w="15" w:type="dxa"/>
              <w:right w:w="15" w:type="dxa"/>
            </w:tcMar>
            <w:vAlign w:val="center"/>
          </w:tcPr>
          <w:p>
            <w:pPr>
              <w:widowControl/>
              <w:spacing w:line="440" w:lineRule="exact"/>
              <w:jc w:val="left"/>
              <w:textAlignment w:val="center"/>
              <w:rPr>
                <w:rFonts w:hint="eastAsia" w:ascii="仿宋" w:hAnsi="仿宋" w:eastAsia="仿宋" w:cs="仿宋"/>
                <w:color w:val="000000"/>
                <w:kern w:val="0"/>
                <w:sz w:val="22"/>
                <w:szCs w:val="22"/>
              </w:rPr>
            </w:pPr>
            <w:r>
              <w:rPr>
                <w:rFonts w:hint="eastAsia" w:ascii="仿宋" w:hAnsi="仿宋" w:eastAsia="仿宋" w:cs="仿宋"/>
                <w:color w:val="000000"/>
                <w:kern w:val="0"/>
                <w:sz w:val="22"/>
                <w:szCs w:val="22"/>
                <w:lang w:val="en-US" w:eastAsia="zh-CN"/>
              </w:rPr>
              <w:t>dD</w:t>
            </w:r>
          </w:p>
        </w:tc>
        <w:tc>
          <w:tcPr>
            <w:tcW w:w="574" w:type="dxa"/>
            <w:tcBorders>
              <w:tl2br w:val="nil"/>
              <w:tr2bl w:val="nil"/>
            </w:tcBorders>
            <w:shd w:val="clear" w:color="auto" w:fill="auto"/>
            <w:tcMar>
              <w:top w:w="15" w:type="dxa"/>
              <w:left w:w="15" w:type="dxa"/>
              <w:right w:w="15" w:type="dxa"/>
            </w:tcMar>
            <w:vAlign w:val="center"/>
          </w:tcPr>
          <w:p>
            <w:pPr>
              <w:widowControl/>
              <w:spacing w:line="440" w:lineRule="exact"/>
              <w:jc w:val="right"/>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rPr>
              <w:t>21.8</w:t>
            </w:r>
          </w:p>
        </w:tc>
        <w:tc>
          <w:tcPr>
            <w:tcW w:w="510" w:type="dxa"/>
            <w:tcBorders>
              <w:tl2br w:val="nil"/>
              <w:tr2bl w:val="nil"/>
            </w:tcBorders>
            <w:shd w:val="clear" w:color="auto" w:fill="auto"/>
            <w:noWrap/>
            <w:tcMar>
              <w:top w:w="15" w:type="dxa"/>
              <w:left w:w="15" w:type="dxa"/>
              <w:right w:w="15" w:type="dxa"/>
            </w:tcMar>
            <w:vAlign w:val="center"/>
          </w:tcPr>
          <w:p>
            <w:pPr>
              <w:widowControl/>
              <w:spacing w:line="440" w:lineRule="exact"/>
              <w:jc w:val="left"/>
              <w:textAlignment w:val="center"/>
              <w:rPr>
                <w:rFonts w:hint="eastAsia" w:ascii="仿宋" w:hAnsi="仿宋" w:eastAsia="仿宋" w:cs="仿宋"/>
                <w:color w:val="000000"/>
                <w:sz w:val="24"/>
                <w:szCs w:val="28"/>
              </w:rPr>
            </w:pPr>
            <w:r>
              <w:rPr>
                <w:rFonts w:hint="eastAsia" w:ascii="仿宋" w:hAnsi="仿宋" w:eastAsia="仿宋" w:cs="仿宋"/>
                <w:color w:val="000000"/>
                <w:kern w:val="0"/>
                <w:sz w:val="24"/>
                <w:szCs w:val="28"/>
              </w:rPr>
              <w:t>aA</w:t>
            </w:r>
          </w:p>
        </w:tc>
        <w:tc>
          <w:tcPr>
            <w:tcW w:w="600" w:type="dxa"/>
            <w:tcBorders>
              <w:tl2br w:val="nil"/>
              <w:tr2bl w:val="nil"/>
            </w:tcBorders>
            <w:shd w:val="clear" w:color="auto" w:fill="auto"/>
            <w:tcMar>
              <w:top w:w="15" w:type="dxa"/>
              <w:left w:w="15" w:type="dxa"/>
              <w:right w:w="15" w:type="dxa"/>
            </w:tcMar>
            <w:vAlign w:val="center"/>
          </w:tcPr>
          <w:p>
            <w:pPr>
              <w:widowControl/>
              <w:spacing w:line="440" w:lineRule="exact"/>
              <w:jc w:val="right"/>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rPr>
              <w:t>137.8</w:t>
            </w:r>
          </w:p>
        </w:tc>
        <w:tc>
          <w:tcPr>
            <w:tcW w:w="509" w:type="dxa"/>
            <w:tcBorders>
              <w:tl2br w:val="nil"/>
              <w:tr2bl w:val="nil"/>
            </w:tcBorders>
            <w:shd w:val="clear" w:color="auto" w:fill="auto"/>
            <w:noWrap/>
            <w:tcMar>
              <w:top w:w="15" w:type="dxa"/>
              <w:left w:w="15" w:type="dxa"/>
              <w:right w:w="15" w:type="dxa"/>
            </w:tcMar>
            <w:vAlign w:val="center"/>
          </w:tcPr>
          <w:p>
            <w:pPr>
              <w:widowControl/>
              <w:spacing w:line="440" w:lineRule="exact"/>
              <w:jc w:val="left"/>
              <w:textAlignment w:val="center"/>
              <w:rPr>
                <w:rFonts w:hint="eastAsia" w:ascii="仿宋" w:hAnsi="仿宋" w:eastAsia="仿宋" w:cs="仿宋"/>
                <w:color w:val="000000"/>
                <w:sz w:val="24"/>
                <w:szCs w:val="28"/>
              </w:rPr>
            </w:pPr>
            <w:r>
              <w:rPr>
                <w:rFonts w:hint="eastAsia" w:ascii="仿宋" w:hAnsi="仿宋" w:eastAsia="仿宋" w:cs="仿宋"/>
                <w:color w:val="000000"/>
                <w:kern w:val="0"/>
                <w:sz w:val="24"/>
                <w:szCs w:val="28"/>
              </w:rPr>
              <w:t>bB</w:t>
            </w:r>
          </w:p>
        </w:tc>
        <w:tc>
          <w:tcPr>
            <w:tcW w:w="587" w:type="dxa"/>
            <w:tcBorders>
              <w:tl2br w:val="nil"/>
              <w:tr2bl w:val="nil"/>
            </w:tcBorders>
            <w:shd w:val="clear" w:color="auto" w:fill="auto"/>
            <w:tcMar>
              <w:top w:w="15" w:type="dxa"/>
              <w:left w:w="15" w:type="dxa"/>
              <w:right w:w="15" w:type="dxa"/>
            </w:tcMar>
            <w:vAlign w:val="center"/>
          </w:tcPr>
          <w:p>
            <w:pPr>
              <w:widowControl/>
              <w:spacing w:line="440" w:lineRule="exact"/>
              <w:jc w:val="right"/>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rPr>
              <w:t>3.3</w:t>
            </w:r>
          </w:p>
        </w:tc>
        <w:tc>
          <w:tcPr>
            <w:tcW w:w="562" w:type="dxa"/>
            <w:tcBorders>
              <w:tl2br w:val="nil"/>
              <w:tr2bl w:val="nil"/>
            </w:tcBorders>
            <w:shd w:val="clear" w:color="auto" w:fill="auto"/>
            <w:noWrap/>
            <w:tcMar>
              <w:top w:w="15" w:type="dxa"/>
              <w:left w:w="15" w:type="dxa"/>
              <w:right w:w="15" w:type="dxa"/>
            </w:tcMar>
            <w:vAlign w:val="center"/>
          </w:tcPr>
          <w:p>
            <w:pPr>
              <w:widowControl/>
              <w:spacing w:line="440" w:lineRule="exact"/>
              <w:jc w:val="left"/>
              <w:textAlignment w:val="center"/>
              <w:rPr>
                <w:rFonts w:hint="eastAsia" w:ascii="仿宋" w:hAnsi="仿宋" w:eastAsia="仿宋" w:cs="仿宋"/>
                <w:color w:val="000000"/>
                <w:sz w:val="24"/>
                <w:szCs w:val="28"/>
              </w:rPr>
            </w:pPr>
            <w:r>
              <w:rPr>
                <w:rFonts w:hint="eastAsia" w:ascii="仿宋" w:hAnsi="仿宋" w:eastAsia="仿宋" w:cs="仿宋"/>
                <w:color w:val="000000"/>
                <w:kern w:val="0"/>
                <w:sz w:val="24"/>
                <w:szCs w:val="28"/>
              </w:rPr>
              <w:t>aA</w:t>
            </w:r>
          </w:p>
        </w:tc>
        <w:tc>
          <w:tcPr>
            <w:tcW w:w="535" w:type="dxa"/>
            <w:tcBorders>
              <w:tl2br w:val="nil"/>
              <w:tr2bl w:val="nil"/>
            </w:tcBorders>
            <w:shd w:val="clear" w:color="auto" w:fill="auto"/>
            <w:tcMar>
              <w:top w:w="15" w:type="dxa"/>
              <w:left w:w="15" w:type="dxa"/>
              <w:right w:w="15" w:type="dxa"/>
            </w:tcMar>
            <w:vAlign w:val="center"/>
          </w:tcPr>
          <w:p>
            <w:pPr>
              <w:widowControl/>
              <w:spacing w:line="440" w:lineRule="exact"/>
              <w:jc w:val="right"/>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rPr>
              <w:t>3.9</w:t>
            </w:r>
          </w:p>
        </w:tc>
        <w:tc>
          <w:tcPr>
            <w:tcW w:w="522" w:type="dxa"/>
            <w:tcBorders>
              <w:tl2br w:val="nil"/>
              <w:tr2bl w:val="nil"/>
            </w:tcBorders>
            <w:shd w:val="clear" w:color="auto" w:fill="auto"/>
            <w:noWrap/>
            <w:tcMar>
              <w:top w:w="15" w:type="dxa"/>
              <w:left w:w="15" w:type="dxa"/>
              <w:right w:w="15" w:type="dxa"/>
            </w:tcMar>
            <w:vAlign w:val="center"/>
          </w:tcPr>
          <w:p>
            <w:pPr>
              <w:widowControl/>
              <w:spacing w:line="440" w:lineRule="exact"/>
              <w:jc w:val="left"/>
              <w:textAlignment w:val="center"/>
              <w:rPr>
                <w:rFonts w:hint="eastAsia" w:ascii="仿宋" w:hAnsi="仿宋" w:eastAsia="仿宋" w:cs="仿宋"/>
                <w:color w:val="000000"/>
                <w:sz w:val="24"/>
                <w:szCs w:val="28"/>
              </w:rPr>
            </w:pPr>
            <w:r>
              <w:rPr>
                <w:rFonts w:hint="eastAsia" w:ascii="仿宋" w:hAnsi="仿宋" w:eastAsia="仿宋" w:cs="仿宋"/>
                <w:color w:val="000000"/>
                <w:kern w:val="0"/>
                <w:sz w:val="24"/>
                <w:szCs w:val="28"/>
              </w:rPr>
              <w:t>bB</w:t>
            </w:r>
          </w:p>
        </w:tc>
        <w:tc>
          <w:tcPr>
            <w:tcW w:w="690" w:type="dxa"/>
            <w:tcBorders>
              <w:tl2br w:val="nil"/>
              <w:tr2bl w:val="nil"/>
            </w:tcBorders>
            <w:shd w:val="clear" w:color="auto" w:fill="auto"/>
            <w:tcMar>
              <w:top w:w="15" w:type="dxa"/>
              <w:left w:w="15" w:type="dxa"/>
              <w:right w:w="15" w:type="dxa"/>
            </w:tcMar>
            <w:vAlign w:val="center"/>
          </w:tcPr>
          <w:p>
            <w:pPr>
              <w:widowControl/>
              <w:spacing w:line="440" w:lineRule="exact"/>
              <w:jc w:val="right"/>
              <w:textAlignment w:val="center"/>
              <w:rPr>
                <w:rFonts w:hint="eastAsia" w:ascii="仿宋" w:hAnsi="仿宋" w:eastAsia="仿宋" w:cs="仿宋"/>
                <w:color w:val="000000"/>
                <w:kern w:val="0"/>
                <w:sz w:val="22"/>
                <w:szCs w:val="22"/>
              </w:rPr>
            </w:pPr>
            <w:r>
              <w:rPr>
                <w:rFonts w:hint="eastAsia" w:ascii="仿宋" w:hAnsi="仿宋" w:eastAsia="仿宋" w:cs="仿宋"/>
                <w:color w:val="000000"/>
                <w:kern w:val="0"/>
                <w:sz w:val="22"/>
                <w:szCs w:val="22"/>
              </w:rPr>
              <w:t>889.1</w:t>
            </w:r>
          </w:p>
        </w:tc>
        <w:tc>
          <w:tcPr>
            <w:tcW w:w="549" w:type="dxa"/>
            <w:tcBorders>
              <w:tl2br w:val="nil"/>
              <w:tr2bl w:val="nil"/>
            </w:tcBorders>
            <w:shd w:val="clear" w:color="auto" w:fill="auto"/>
            <w:noWrap/>
            <w:tcMar>
              <w:top w:w="15" w:type="dxa"/>
              <w:left w:w="15" w:type="dxa"/>
              <w:right w:w="15" w:type="dxa"/>
            </w:tcMar>
            <w:vAlign w:val="center"/>
          </w:tcPr>
          <w:p>
            <w:pPr>
              <w:widowControl/>
              <w:spacing w:line="440" w:lineRule="exact"/>
              <w:jc w:val="left"/>
              <w:textAlignment w:val="center"/>
              <w:rPr>
                <w:rFonts w:hint="eastAsia" w:ascii="仿宋" w:hAnsi="仿宋" w:eastAsia="仿宋" w:cs="仿宋"/>
                <w:color w:val="000000"/>
                <w:kern w:val="0"/>
                <w:sz w:val="22"/>
                <w:szCs w:val="22"/>
              </w:rPr>
            </w:pPr>
            <w:r>
              <w:rPr>
                <w:rFonts w:hint="eastAsia" w:ascii="仿宋" w:hAnsi="仿宋" w:eastAsia="仿宋" w:cs="仿宋"/>
                <w:color w:val="000000"/>
                <w:kern w:val="0"/>
                <w:sz w:val="22"/>
                <w:szCs w:val="22"/>
              </w:rPr>
              <w:t>bB</w:t>
            </w:r>
          </w:p>
        </w:tc>
      </w:tr>
      <w:tr>
        <w:tblPrEx>
          <w:tblBorders>
            <w:top w:val="single" w:color="000000" w:sz="18" w:space="0"/>
            <w:left w:val="none" w:color="auto" w:sz="0" w:space="0"/>
            <w:bottom w:val="single" w:color="000000" w:sz="18" w:space="0"/>
            <w:right w:val="none" w:color="auto" w:sz="0" w:space="0"/>
            <w:insideH w:val="none" w:color="auto" w:sz="0" w:space="0"/>
            <w:insideV w:val="none" w:color="auto" w:sz="0" w:space="0"/>
          </w:tblBorders>
          <w:tblCellMar>
            <w:top w:w="0" w:type="dxa"/>
            <w:left w:w="0" w:type="dxa"/>
            <w:bottom w:w="0" w:type="dxa"/>
            <w:right w:w="0" w:type="dxa"/>
          </w:tblCellMar>
        </w:tblPrEx>
        <w:trPr>
          <w:trHeight w:val="723" w:hRule="atLeast"/>
          <w:jc w:val="center"/>
        </w:trPr>
        <w:tc>
          <w:tcPr>
            <w:tcW w:w="704" w:type="dxa"/>
            <w:tcBorders>
              <w:tl2br w:val="nil"/>
              <w:tr2bl w:val="nil"/>
            </w:tcBorders>
            <w:shd w:val="clear" w:color="auto" w:fill="auto"/>
            <w:tcMar>
              <w:top w:w="15" w:type="dxa"/>
              <w:left w:w="15" w:type="dxa"/>
              <w:right w:w="15" w:type="dxa"/>
            </w:tcMar>
            <w:vAlign w:val="center"/>
          </w:tcPr>
          <w:p>
            <w:pPr>
              <w:widowControl/>
              <w:spacing w:line="440" w:lineRule="exact"/>
              <w:ind w:right="105"/>
              <w:jc w:val="right"/>
              <w:textAlignment w:val="center"/>
              <w:rPr>
                <w:rFonts w:hint="eastAsia" w:ascii="仿宋" w:hAnsi="仿宋" w:eastAsia="仿宋" w:cs="仿宋"/>
                <w:color w:val="000000"/>
                <w:kern w:val="0"/>
                <w:sz w:val="22"/>
                <w:szCs w:val="22"/>
              </w:rPr>
            </w:pPr>
            <w:r>
              <w:rPr>
                <w:rFonts w:hint="eastAsia" w:ascii="仿宋" w:hAnsi="仿宋" w:eastAsia="仿宋" w:cs="仿宋"/>
                <w:color w:val="000000"/>
                <w:kern w:val="0"/>
                <w:sz w:val="22"/>
                <w:szCs w:val="22"/>
              </w:rPr>
              <w:t>100d</w:t>
            </w:r>
          </w:p>
        </w:tc>
        <w:tc>
          <w:tcPr>
            <w:tcW w:w="586" w:type="dxa"/>
            <w:tcBorders>
              <w:tl2br w:val="nil"/>
              <w:tr2bl w:val="nil"/>
            </w:tcBorders>
            <w:shd w:val="clear" w:color="auto" w:fill="auto"/>
            <w:tcMar>
              <w:top w:w="15" w:type="dxa"/>
              <w:left w:w="15" w:type="dxa"/>
              <w:right w:w="15" w:type="dxa"/>
            </w:tcMar>
            <w:vAlign w:val="center"/>
          </w:tcPr>
          <w:p>
            <w:pPr>
              <w:widowControl/>
              <w:spacing w:line="440" w:lineRule="exact"/>
              <w:jc w:val="right"/>
              <w:textAlignment w:val="center"/>
              <w:rPr>
                <w:rFonts w:hint="eastAsia" w:ascii="仿宋" w:hAnsi="仿宋" w:eastAsia="仿宋" w:cs="仿宋"/>
                <w:color w:val="000000"/>
                <w:kern w:val="0"/>
                <w:sz w:val="22"/>
                <w:szCs w:val="22"/>
              </w:rPr>
            </w:pPr>
            <w:r>
              <w:rPr>
                <w:rFonts w:hint="eastAsia" w:ascii="仿宋" w:hAnsi="仿宋" w:eastAsia="仿宋" w:cs="仿宋"/>
                <w:color w:val="000000"/>
                <w:kern w:val="0"/>
                <w:sz w:val="22"/>
                <w:szCs w:val="22"/>
              </w:rPr>
              <w:t>94.7</w:t>
            </w:r>
          </w:p>
        </w:tc>
        <w:tc>
          <w:tcPr>
            <w:tcW w:w="498" w:type="dxa"/>
            <w:tcBorders>
              <w:tl2br w:val="nil"/>
              <w:tr2bl w:val="nil"/>
            </w:tcBorders>
            <w:shd w:val="clear" w:color="auto" w:fill="auto"/>
            <w:noWrap/>
            <w:tcMar>
              <w:top w:w="15" w:type="dxa"/>
              <w:left w:w="15" w:type="dxa"/>
              <w:right w:w="15" w:type="dxa"/>
            </w:tcMar>
            <w:vAlign w:val="center"/>
          </w:tcPr>
          <w:p>
            <w:pPr>
              <w:widowControl/>
              <w:spacing w:line="440" w:lineRule="exact"/>
              <w:jc w:val="left"/>
              <w:textAlignment w:val="center"/>
              <w:rPr>
                <w:rFonts w:hint="eastAsia" w:ascii="仿宋" w:hAnsi="仿宋" w:eastAsia="仿宋" w:cs="仿宋"/>
                <w:color w:val="000000"/>
                <w:kern w:val="0"/>
                <w:sz w:val="22"/>
                <w:szCs w:val="22"/>
              </w:rPr>
            </w:pPr>
            <w:r>
              <w:rPr>
                <w:rFonts w:hint="eastAsia" w:ascii="仿宋" w:hAnsi="仿宋" w:eastAsia="仿宋" w:cs="仿宋"/>
                <w:color w:val="000000"/>
                <w:kern w:val="0"/>
                <w:sz w:val="22"/>
                <w:szCs w:val="22"/>
              </w:rPr>
              <w:t>bB</w:t>
            </w:r>
          </w:p>
        </w:tc>
        <w:tc>
          <w:tcPr>
            <w:tcW w:w="588" w:type="dxa"/>
            <w:tcBorders>
              <w:tl2br w:val="nil"/>
              <w:tr2bl w:val="nil"/>
            </w:tcBorders>
            <w:shd w:val="clear" w:color="auto" w:fill="auto"/>
            <w:tcMar>
              <w:top w:w="15" w:type="dxa"/>
              <w:left w:w="15" w:type="dxa"/>
              <w:right w:w="15" w:type="dxa"/>
            </w:tcMar>
            <w:vAlign w:val="center"/>
          </w:tcPr>
          <w:p>
            <w:pPr>
              <w:widowControl/>
              <w:spacing w:line="440" w:lineRule="exact"/>
              <w:jc w:val="right"/>
              <w:textAlignment w:val="center"/>
              <w:rPr>
                <w:rFonts w:hint="eastAsia" w:ascii="仿宋" w:hAnsi="仿宋" w:eastAsia="仿宋" w:cs="仿宋"/>
                <w:color w:val="000000"/>
                <w:kern w:val="0"/>
                <w:sz w:val="22"/>
                <w:szCs w:val="22"/>
              </w:rPr>
            </w:pPr>
            <w:r>
              <w:rPr>
                <w:rFonts w:hint="eastAsia" w:ascii="仿宋" w:hAnsi="仿宋" w:eastAsia="仿宋" w:cs="仿宋"/>
                <w:color w:val="000000"/>
                <w:kern w:val="0"/>
                <w:sz w:val="22"/>
                <w:szCs w:val="22"/>
              </w:rPr>
              <w:t>15.4</w:t>
            </w:r>
          </w:p>
        </w:tc>
        <w:tc>
          <w:tcPr>
            <w:tcW w:w="522" w:type="dxa"/>
            <w:tcBorders>
              <w:tl2br w:val="nil"/>
              <w:tr2bl w:val="nil"/>
            </w:tcBorders>
            <w:shd w:val="clear" w:color="auto" w:fill="auto"/>
            <w:noWrap/>
            <w:tcMar>
              <w:top w:w="15" w:type="dxa"/>
              <w:left w:w="15" w:type="dxa"/>
              <w:right w:w="15" w:type="dxa"/>
            </w:tcMar>
            <w:vAlign w:val="center"/>
          </w:tcPr>
          <w:p>
            <w:pPr>
              <w:widowControl/>
              <w:spacing w:line="440" w:lineRule="exact"/>
              <w:jc w:val="left"/>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dD</w:t>
            </w:r>
          </w:p>
        </w:tc>
        <w:tc>
          <w:tcPr>
            <w:tcW w:w="574" w:type="dxa"/>
            <w:tcBorders>
              <w:tl2br w:val="nil"/>
              <w:tr2bl w:val="nil"/>
            </w:tcBorders>
            <w:shd w:val="clear" w:color="auto" w:fill="auto"/>
            <w:tcMar>
              <w:top w:w="15" w:type="dxa"/>
              <w:left w:w="15" w:type="dxa"/>
              <w:right w:w="15" w:type="dxa"/>
            </w:tcMar>
            <w:vAlign w:val="center"/>
          </w:tcPr>
          <w:p>
            <w:pPr>
              <w:widowControl/>
              <w:spacing w:line="440" w:lineRule="exact"/>
              <w:jc w:val="right"/>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rPr>
              <w:t>24.6</w:t>
            </w:r>
          </w:p>
        </w:tc>
        <w:tc>
          <w:tcPr>
            <w:tcW w:w="510" w:type="dxa"/>
            <w:tcBorders>
              <w:tl2br w:val="nil"/>
              <w:tr2bl w:val="nil"/>
            </w:tcBorders>
            <w:shd w:val="clear" w:color="auto" w:fill="auto"/>
            <w:noWrap/>
            <w:tcMar>
              <w:top w:w="15" w:type="dxa"/>
              <w:left w:w="15" w:type="dxa"/>
              <w:right w:w="15" w:type="dxa"/>
            </w:tcMar>
            <w:vAlign w:val="center"/>
          </w:tcPr>
          <w:p>
            <w:pPr>
              <w:widowControl/>
              <w:spacing w:line="440" w:lineRule="exact"/>
              <w:jc w:val="left"/>
              <w:textAlignment w:val="center"/>
              <w:rPr>
                <w:rFonts w:hint="eastAsia" w:ascii="仿宋" w:hAnsi="仿宋" w:eastAsia="仿宋" w:cs="仿宋"/>
                <w:color w:val="000000"/>
                <w:sz w:val="24"/>
                <w:szCs w:val="28"/>
              </w:rPr>
            </w:pPr>
            <w:r>
              <w:rPr>
                <w:rFonts w:hint="eastAsia" w:ascii="仿宋" w:hAnsi="仿宋" w:eastAsia="仿宋" w:cs="仿宋"/>
                <w:color w:val="000000"/>
                <w:kern w:val="0"/>
                <w:sz w:val="24"/>
                <w:szCs w:val="28"/>
              </w:rPr>
              <w:t>aA</w:t>
            </w:r>
          </w:p>
        </w:tc>
        <w:tc>
          <w:tcPr>
            <w:tcW w:w="600" w:type="dxa"/>
            <w:tcBorders>
              <w:tl2br w:val="nil"/>
              <w:tr2bl w:val="nil"/>
            </w:tcBorders>
            <w:shd w:val="clear" w:color="auto" w:fill="auto"/>
            <w:tcMar>
              <w:top w:w="15" w:type="dxa"/>
              <w:left w:w="15" w:type="dxa"/>
              <w:right w:w="15" w:type="dxa"/>
            </w:tcMar>
            <w:vAlign w:val="center"/>
          </w:tcPr>
          <w:p>
            <w:pPr>
              <w:widowControl/>
              <w:spacing w:line="440" w:lineRule="exact"/>
              <w:jc w:val="right"/>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rPr>
              <w:t>172.6</w:t>
            </w:r>
          </w:p>
        </w:tc>
        <w:tc>
          <w:tcPr>
            <w:tcW w:w="509" w:type="dxa"/>
            <w:tcBorders>
              <w:tl2br w:val="nil"/>
              <w:tr2bl w:val="nil"/>
            </w:tcBorders>
            <w:shd w:val="clear" w:color="auto" w:fill="auto"/>
            <w:noWrap/>
            <w:tcMar>
              <w:top w:w="15" w:type="dxa"/>
              <w:left w:w="15" w:type="dxa"/>
              <w:right w:w="15" w:type="dxa"/>
            </w:tcMar>
            <w:vAlign w:val="center"/>
          </w:tcPr>
          <w:p>
            <w:pPr>
              <w:widowControl/>
              <w:spacing w:line="440" w:lineRule="exact"/>
              <w:jc w:val="left"/>
              <w:textAlignment w:val="center"/>
              <w:rPr>
                <w:rFonts w:hint="eastAsia" w:ascii="仿宋" w:hAnsi="仿宋" w:eastAsia="仿宋" w:cs="仿宋"/>
                <w:color w:val="000000"/>
                <w:sz w:val="24"/>
                <w:szCs w:val="28"/>
              </w:rPr>
            </w:pPr>
            <w:r>
              <w:rPr>
                <w:rFonts w:hint="eastAsia" w:ascii="仿宋" w:hAnsi="仿宋" w:eastAsia="仿宋" w:cs="仿宋"/>
                <w:color w:val="000000"/>
                <w:kern w:val="0"/>
                <w:sz w:val="24"/>
                <w:szCs w:val="28"/>
              </w:rPr>
              <w:t>aA</w:t>
            </w:r>
          </w:p>
        </w:tc>
        <w:tc>
          <w:tcPr>
            <w:tcW w:w="587" w:type="dxa"/>
            <w:tcBorders>
              <w:tl2br w:val="nil"/>
              <w:tr2bl w:val="nil"/>
            </w:tcBorders>
            <w:shd w:val="clear" w:color="auto" w:fill="auto"/>
            <w:tcMar>
              <w:top w:w="15" w:type="dxa"/>
              <w:left w:w="15" w:type="dxa"/>
              <w:right w:w="15" w:type="dxa"/>
            </w:tcMar>
            <w:vAlign w:val="center"/>
          </w:tcPr>
          <w:p>
            <w:pPr>
              <w:widowControl/>
              <w:spacing w:line="440" w:lineRule="exact"/>
              <w:jc w:val="right"/>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rPr>
              <w:t>3.9</w:t>
            </w:r>
          </w:p>
        </w:tc>
        <w:tc>
          <w:tcPr>
            <w:tcW w:w="562" w:type="dxa"/>
            <w:tcBorders>
              <w:tl2br w:val="nil"/>
              <w:tr2bl w:val="nil"/>
            </w:tcBorders>
            <w:shd w:val="clear" w:color="auto" w:fill="auto"/>
            <w:noWrap/>
            <w:tcMar>
              <w:top w:w="15" w:type="dxa"/>
              <w:left w:w="15" w:type="dxa"/>
              <w:right w:w="15" w:type="dxa"/>
            </w:tcMar>
            <w:vAlign w:val="center"/>
          </w:tcPr>
          <w:p>
            <w:pPr>
              <w:widowControl/>
              <w:spacing w:line="440" w:lineRule="exact"/>
              <w:jc w:val="left"/>
              <w:textAlignment w:val="center"/>
              <w:rPr>
                <w:rFonts w:hint="eastAsia" w:ascii="仿宋" w:hAnsi="仿宋" w:eastAsia="仿宋" w:cs="仿宋"/>
                <w:color w:val="000000"/>
                <w:sz w:val="24"/>
                <w:szCs w:val="28"/>
              </w:rPr>
            </w:pPr>
            <w:r>
              <w:rPr>
                <w:rFonts w:hint="eastAsia" w:ascii="仿宋" w:hAnsi="仿宋" w:eastAsia="仿宋" w:cs="仿宋"/>
                <w:color w:val="000000"/>
                <w:kern w:val="0"/>
                <w:sz w:val="24"/>
                <w:szCs w:val="28"/>
              </w:rPr>
              <w:t>aA</w:t>
            </w:r>
          </w:p>
        </w:tc>
        <w:tc>
          <w:tcPr>
            <w:tcW w:w="535" w:type="dxa"/>
            <w:tcBorders>
              <w:tl2br w:val="nil"/>
              <w:tr2bl w:val="nil"/>
            </w:tcBorders>
            <w:shd w:val="clear" w:color="auto" w:fill="auto"/>
            <w:tcMar>
              <w:top w:w="15" w:type="dxa"/>
              <w:left w:w="15" w:type="dxa"/>
              <w:right w:w="15" w:type="dxa"/>
            </w:tcMar>
            <w:vAlign w:val="center"/>
          </w:tcPr>
          <w:p>
            <w:pPr>
              <w:widowControl/>
              <w:spacing w:line="440" w:lineRule="exact"/>
              <w:jc w:val="right"/>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rPr>
              <w:t>4.5</w:t>
            </w:r>
          </w:p>
        </w:tc>
        <w:tc>
          <w:tcPr>
            <w:tcW w:w="522" w:type="dxa"/>
            <w:tcBorders>
              <w:tl2br w:val="nil"/>
              <w:tr2bl w:val="nil"/>
            </w:tcBorders>
            <w:shd w:val="clear" w:color="auto" w:fill="auto"/>
            <w:noWrap/>
            <w:tcMar>
              <w:top w:w="15" w:type="dxa"/>
              <w:left w:w="15" w:type="dxa"/>
              <w:right w:w="15" w:type="dxa"/>
            </w:tcMar>
            <w:vAlign w:val="center"/>
          </w:tcPr>
          <w:p>
            <w:pPr>
              <w:widowControl/>
              <w:spacing w:line="440" w:lineRule="exact"/>
              <w:jc w:val="left"/>
              <w:textAlignment w:val="center"/>
              <w:rPr>
                <w:rFonts w:hint="eastAsia" w:ascii="仿宋" w:hAnsi="仿宋" w:eastAsia="仿宋" w:cs="仿宋"/>
                <w:color w:val="000000"/>
                <w:sz w:val="24"/>
                <w:szCs w:val="28"/>
              </w:rPr>
            </w:pPr>
            <w:r>
              <w:rPr>
                <w:rFonts w:hint="eastAsia" w:ascii="仿宋" w:hAnsi="仿宋" w:eastAsia="仿宋" w:cs="仿宋"/>
                <w:color w:val="000000"/>
                <w:kern w:val="0"/>
                <w:sz w:val="24"/>
                <w:szCs w:val="28"/>
              </w:rPr>
              <w:t>aA</w:t>
            </w:r>
          </w:p>
        </w:tc>
        <w:tc>
          <w:tcPr>
            <w:tcW w:w="690" w:type="dxa"/>
            <w:tcBorders>
              <w:tl2br w:val="nil"/>
              <w:tr2bl w:val="nil"/>
            </w:tcBorders>
            <w:shd w:val="clear" w:color="auto" w:fill="auto"/>
            <w:tcMar>
              <w:top w:w="15" w:type="dxa"/>
              <w:left w:w="15" w:type="dxa"/>
              <w:right w:w="15" w:type="dxa"/>
            </w:tcMar>
            <w:vAlign w:val="center"/>
          </w:tcPr>
          <w:p>
            <w:pPr>
              <w:widowControl/>
              <w:spacing w:line="440" w:lineRule="exact"/>
              <w:jc w:val="right"/>
              <w:textAlignment w:val="center"/>
              <w:rPr>
                <w:rFonts w:hint="eastAsia" w:ascii="仿宋" w:hAnsi="仿宋" w:eastAsia="仿宋" w:cs="仿宋"/>
                <w:color w:val="000000"/>
                <w:kern w:val="0"/>
                <w:sz w:val="22"/>
                <w:szCs w:val="22"/>
              </w:rPr>
            </w:pPr>
            <w:r>
              <w:rPr>
                <w:rFonts w:hint="eastAsia" w:ascii="仿宋" w:hAnsi="仿宋" w:eastAsia="仿宋" w:cs="仿宋"/>
                <w:color w:val="000000"/>
                <w:kern w:val="0"/>
                <w:sz w:val="22"/>
                <w:szCs w:val="22"/>
              </w:rPr>
              <w:t>980.7</w:t>
            </w:r>
          </w:p>
        </w:tc>
        <w:tc>
          <w:tcPr>
            <w:tcW w:w="549" w:type="dxa"/>
            <w:tcBorders>
              <w:tl2br w:val="nil"/>
              <w:tr2bl w:val="nil"/>
            </w:tcBorders>
            <w:shd w:val="clear" w:color="auto" w:fill="auto"/>
            <w:noWrap/>
            <w:tcMar>
              <w:top w:w="15" w:type="dxa"/>
              <w:left w:w="15" w:type="dxa"/>
              <w:right w:w="15" w:type="dxa"/>
            </w:tcMar>
            <w:vAlign w:val="center"/>
          </w:tcPr>
          <w:p>
            <w:pPr>
              <w:widowControl/>
              <w:spacing w:line="440" w:lineRule="exact"/>
              <w:jc w:val="left"/>
              <w:textAlignment w:val="center"/>
              <w:rPr>
                <w:rFonts w:hint="eastAsia" w:ascii="仿宋" w:hAnsi="仿宋" w:eastAsia="仿宋" w:cs="仿宋"/>
                <w:color w:val="000000"/>
                <w:kern w:val="0"/>
                <w:sz w:val="22"/>
                <w:szCs w:val="22"/>
              </w:rPr>
            </w:pPr>
            <w:r>
              <w:rPr>
                <w:rFonts w:hint="eastAsia" w:ascii="仿宋" w:hAnsi="仿宋" w:eastAsia="仿宋" w:cs="仿宋"/>
                <w:color w:val="000000"/>
                <w:kern w:val="0"/>
                <w:sz w:val="22"/>
                <w:szCs w:val="22"/>
              </w:rPr>
              <w:t>aA</w:t>
            </w:r>
          </w:p>
        </w:tc>
      </w:tr>
      <w:tr>
        <w:tblPrEx>
          <w:tblBorders>
            <w:top w:val="single" w:color="000000" w:sz="18" w:space="0"/>
            <w:left w:val="none" w:color="auto" w:sz="0" w:space="0"/>
            <w:bottom w:val="single" w:color="000000" w:sz="18" w:space="0"/>
            <w:right w:val="none" w:color="auto" w:sz="0" w:space="0"/>
            <w:insideH w:val="none" w:color="auto" w:sz="0" w:space="0"/>
            <w:insideV w:val="none" w:color="auto" w:sz="0" w:space="0"/>
          </w:tblBorders>
          <w:tblCellMar>
            <w:top w:w="0" w:type="dxa"/>
            <w:left w:w="0" w:type="dxa"/>
            <w:bottom w:w="0" w:type="dxa"/>
            <w:right w:w="0" w:type="dxa"/>
          </w:tblCellMar>
        </w:tblPrEx>
        <w:trPr>
          <w:trHeight w:val="723" w:hRule="atLeast"/>
          <w:jc w:val="center"/>
        </w:trPr>
        <w:tc>
          <w:tcPr>
            <w:tcW w:w="704" w:type="dxa"/>
            <w:tcBorders>
              <w:tl2br w:val="nil"/>
              <w:tr2bl w:val="nil"/>
            </w:tcBorders>
            <w:shd w:val="clear" w:color="auto" w:fill="auto"/>
            <w:tcMar>
              <w:top w:w="15" w:type="dxa"/>
              <w:left w:w="15" w:type="dxa"/>
              <w:right w:w="15" w:type="dxa"/>
            </w:tcMar>
            <w:vAlign w:val="center"/>
          </w:tcPr>
          <w:p>
            <w:pPr>
              <w:widowControl/>
              <w:spacing w:line="440" w:lineRule="exact"/>
              <w:ind w:right="105"/>
              <w:jc w:val="right"/>
              <w:textAlignment w:val="center"/>
              <w:rPr>
                <w:rFonts w:hint="eastAsia" w:ascii="仿宋" w:hAnsi="仿宋" w:eastAsia="仿宋" w:cs="仿宋"/>
                <w:color w:val="000000"/>
                <w:kern w:val="0"/>
                <w:sz w:val="22"/>
                <w:szCs w:val="22"/>
              </w:rPr>
            </w:pPr>
            <w:r>
              <w:rPr>
                <w:rFonts w:hint="eastAsia" w:ascii="仿宋" w:hAnsi="仿宋" w:eastAsia="仿宋" w:cs="仿宋"/>
                <w:color w:val="000000"/>
                <w:kern w:val="0"/>
                <w:sz w:val="22"/>
                <w:szCs w:val="22"/>
              </w:rPr>
              <w:t>110d</w:t>
            </w:r>
          </w:p>
        </w:tc>
        <w:tc>
          <w:tcPr>
            <w:tcW w:w="586" w:type="dxa"/>
            <w:tcBorders>
              <w:tl2br w:val="nil"/>
              <w:tr2bl w:val="nil"/>
            </w:tcBorders>
            <w:shd w:val="clear" w:color="auto" w:fill="auto"/>
            <w:tcMar>
              <w:top w:w="15" w:type="dxa"/>
              <w:left w:w="15" w:type="dxa"/>
              <w:right w:w="15" w:type="dxa"/>
            </w:tcMar>
            <w:vAlign w:val="center"/>
          </w:tcPr>
          <w:p>
            <w:pPr>
              <w:widowControl/>
              <w:spacing w:line="440" w:lineRule="exact"/>
              <w:jc w:val="right"/>
              <w:textAlignment w:val="center"/>
              <w:rPr>
                <w:rFonts w:hint="eastAsia" w:ascii="仿宋" w:hAnsi="仿宋" w:eastAsia="仿宋" w:cs="仿宋"/>
                <w:color w:val="000000"/>
                <w:kern w:val="0"/>
                <w:sz w:val="22"/>
                <w:szCs w:val="22"/>
              </w:rPr>
            </w:pPr>
            <w:r>
              <w:rPr>
                <w:rFonts w:hint="eastAsia" w:ascii="仿宋" w:hAnsi="仿宋" w:eastAsia="仿宋" w:cs="仿宋"/>
                <w:color w:val="000000"/>
                <w:kern w:val="0"/>
                <w:sz w:val="22"/>
                <w:szCs w:val="22"/>
              </w:rPr>
              <w:t>95.3</w:t>
            </w:r>
          </w:p>
        </w:tc>
        <w:tc>
          <w:tcPr>
            <w:tcW w:w="498" w:type="dxa"/>
            <w:tcBorders>
              <w:tl2br w:val="nil"/>
              <w:tr2bl w:val="nil"/>
            </w:tcBorders>
            <w:shd w:val="clear" w:color="auto" w:fill="auto"/>
            <w:noWrap/>
            <w:tcMar>
              <w:top w:w="15" w:type="dxa"/>
              <w:left w:w="15" w:type="dxa"/>
              <w:right w:w="15" w:type="dxa"/>
            </w:tcMar>
            <w:vAlign w:val="center"/>
          </w:tcPr>
          <w:p>
            <w:pPr>
              <w:widowControl/>
              <w:spacing w:line="440" w:lineRule="exact"/>
              <w:jc w:val="left"/>
              <w:textAlignment w:val="center"/>
              <w:rPr>
                <w:rFonts w:hint="eastAsia" w:ascii="仿宋" w:hAnsi="仿宋" w:eastAsia="仿宋" w:cs="仿宋"/>
                <w:color w:val="000000"/>
                <w:kern w:val="0"/>
                <w:sz w:val="22"/>
                <w:szCs w:val="22"/>
              </w:rPr>
            </w:pPr>
            <w:r>
              <w:rPr>
                <w:rFonts w:hint="eastAsia" w:ascii="仿宋" w:hAnsi="仿宋" w:eastAsia="仿宋" w:cs="仿宋"/>
                <w:color w:val="000000"/>
                <w:kern w:val="0"/>
                <w:sz w:val="22"/>
                <w:szCs w:val="22"/>
              </w:rPr>
              <w:t>bAB</w:t>
            </w:r>
          </w:p>
        </w:tc>
        <w:tc>
          <w:tcPr>
            <w:tcW w:w="588" w:type="dxa"/>
            <w:tcBorders>
              <w:tl2br w:val="nil"/>
              <w:tr2bl w:val="nil"/>
            </w:tcBorders>
            <w:shd w:val="clear" w:color="auto" w:fill="auto"/>
            <w:tcMar>
              <w:top w:w="15" w:type="dxa"/>
              <w:left w:w="15" w:type="dxa"/>
              <w:right w:w="15" w:type="dxa"/>
            </w:tcMar>
            <w:vAlign w:val="center"/>
          </w:tcPr>
          <w:p>
            <w:pPr>
              <w:widowControl/>
              <w:spacing w:line="440" w:lineRule="exact"/>
              <w:jc w:val="right"/>
              <w:textAlignment w:val="center"/>
              <w:rPr>
                <w:rFonts w:hint="eastAsia" w:ascii="仿宋" w:hAnsi="仿宋" w:eastAsia="仿宋" w:cs="仿宋"/>
                <w:color w:val="000000"/>
                <w:kern w:val="0"/>
                <w:sz w:val="22"/>
                <w:szCs w:val="22"/>
              </w:rPr>
            </w:pPr>
            <w:r>
              <w:rPr>
                <w:rFonts w:hint="eastAsia" w:ascii="仿宋" w:hAnsi="仿宋" w:eastAsia="仿宋" w:cs="仿宋"/>
                <w:color w:val="000000"/>
                <w:kern w:val="0"/>
                <w:sz w:val="22"/>
                <w:szCs w:val="22"/>
                <w:lang w:val="en-US" w:eastAsia="zh-CN"/>
              </w:rPr>
              <w:t>25</w:t>
            </w:r>
            <w:r>
              <w:rPr>
                <w:rFonts w:hint="eastAsia" w:ascii="仿宋" w:hAnsi="仿宋" w:eastAsia="仿宋" w:cs="仿宋"/>
                <w:color w:val="000000"/>
                <w:kern w:val="0"/>
                <w:sz w:val="22"/>
                <w:szCs w:val="22"/>
              </w:rPr>
              <w:t>.7</w:t>
            </w:r>
          </w:p>
        </w:tc>
        <w:tc>
          <w:tcPr>
            <w:tcW w:w="522" w:type="dxa"/>
            <w:tcBorders>
              <w:tl2br w:val="nil"/>
              <w:tr2bl w:val="nil"/>
            </w:tcBorders>
            <w:shd w:val="clear" w:color="auto" w:fill="auto"/>
            <w:noWrap/>
            <w:tcMar>
              <w:top w:w="15" w:type="dxa"/>
              <w:left w:w="15" w:type="dxa"/>
              <w:right w:w="15" w:type="dxa"/>
            </w:tcMar>
            <w:vAlign w:val="center"/>
          </w:tcPr>
          <w:p>
            <w:pPr>
              <w:widowControl/>
              <w:spacing w:line="440" w:lineRule="exact"/>
              <w:jc w:val="left"/>
              <w:textAlignment w:val="center"/>
              <w:rPr>
                <w:rFonts w:hint="eastAsia" w:ascii="仿宋" w:hAnsi="仿宋" w:eastAsia="仿宋" w:cs="仿宋"/>
                <w:color w:val="000000"/>
                <w:kern w:val="0"/>
                <w:sz w:val="22"/>
                <w:szCs w:val="22"/>
              </w:rPr>
            </w:pPr>
            <w:r>
              <w:rPr>
                <w:rFonts w:hint="eastAsia" w:ascii="仿宋" w:hAnsi="仿宋" w:eastAsia="仿宋" w:cs="仿宋"/>
                <w:color w:val="000000"/>
                <w:kern w:val="0"/>
                <w:sz w:val="22"/>
                <w:szCs w:val="22"/>
              </w:rPr>
              <w:t>cC</w:t>
            </w:r>
          </w:p>
        </w:tc>
        <w:tc>
          <w:tcPr>
            <w:tcW w:w="574" w:type="dxa"/>
            <w:tcBorders>
              <w:tl2br w:val="nil"/>
              <w:tr2bl w:val="nil"/>
            </w:tcBorders>
            <w:shd w:val="clear" w:color="auto" w:fill="auto"/>
            <w:tcMar>
              <w:top w:w="15" w:type="dxa"/>
              <w:left w:w="15" w:type="dxa"/>
              <w:right w:w="15" w:type="dxa"/>
            </w:tcMar>
            <w:vAlign w:val="center"/>
          </w:tcPr>
          <w:p>
            <w:pPr>
              <w:widowControl/>
              <w:spacing w:line="440" w:lineRule="exact"/>
              <w:jc w:val="right"/>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rPr>
              <w:t>24.9</w:t>
            </w:r>
          </w:p>
        </w:tc>
        <w:tc>
          <w:tcPr>
            <w:tcW w:w="510" w:type="dxa"/>
            <w:tcBorders>
              <w:tl2br w:val="nil"/>
              <w:tr2bl w:val="nil"/>
            </w:tcBorders>
            <w:shd w:val="clear" w:color="auto" w:fill="auto"/>
            <w:noWrap/>
            <w:tcMar>
              <w:top w:w="15" w:type="dxa"/>
              <w:left w:w="15" w:type="dxa"/>
              <w:right w:w="15" w:type="dxa"/>
            </w:tcMar>
            <w:vAlign w:val="center"/>
          </w:tcPr>
          <w:p>
            <w:pPr>
              <w:widowControl/>
              <w:spacing w:line="440" w:lineRule="exact"/>
              <w:jc w:val="left"/>
              <w:textAlignment w:val="center"/>
              <w:rPr>
                <w:rFonts w:hint="eastAsia" w:ascii="仿宋" w:hAnsi="仿宋" w:eastAsia="仿宋" w:cs="仿宋"/>
                <w:color w:val="000000"/>
                <w:sz w:val="24"/>
                <w:szCs w:val="28"/>
              </w:rPr>
            </w:pPr>
            <w:r>
              <w:rPr>
                <w:rFonts w:hint="eastAsia" w:ascii="仿宋" w:hAnsi="仿宋" w:eastAsia="仿宋" w:cs="仿宋"/>
                <w:color w:val="000000"/>
                <w:kern w:val="0"/>
                <w:sz w:val="24"/>
                <w:szCs w:val="28"/>
              </w:rPr>
              <w:t>aA</w:t>
            </w:r>
          </w:p>
        </w:tc>
        <w:tc>
          <w:tcPr>
            <w:tcW w:w="600" w:type="dxa"/>
            <w:tcBorders>
              <w:tl2br w:val="nil"/>
              <w:tr2bl w:val="nil"/>
            </w:tcBorders>
            <w:shd w:val="clear" w:color="auto" w:fill="auto"/>
            <w:tcMar>
              <w:top w:w="15" w:type="dxa"/>
              <w:left w:w="15" w:type="dxa"/>
              <w:right w:w="15" w:type="dxa"/>
            </w:tcMar>
            <w:vAlign w:val="center"/>
          </w:tcPr>
          <w:p>
            <w:pPr>
              <w:widowControl/>
              <w:spacing w:line="440" w:lineRule="exact"/>
              <w:jc w:val="right"/>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rPr>
              <w:t>171.3</w:t>
            </w:r>
          </w:p>
        </w:tc>
        <w:tc>
          <w:tcPr>
            <w:tcW w:w="509" w:type="dxa"/>
            <w:tcBorders>
              <w:tl2br w:val="nil"/>
              <w:tr2bl w:val="nil"/>
            </w:tcBorders>
            <w:shd w:val="clear" w:color="auto" w:fill="auto"/>
            <w:noWrap/>
            <w:tcMar>
              <w:top w:w="15" w:type="dxa"/>
              <w:left w:w="15" w:type="dxa"/>
              <w:right w:w="15" w:type="dxa"/>
            </w:tcMar>
            <w:vAlign w:val="center"/>
          </w:tcPr>
          <w:p>
            <w:pPr>
              <w:widowControl/>
              <w:spacing w:line="440" w:lineRule="exact"/>
              <w:jc w:val="left"/>
              <w:textAlignment w:val="center"/>
              <w:rPr>
                <w:rFonts w:hint="eastAsia" w:ascii="仿宋" w:hAnsi="仿宋" w:eastAsia="仿宋" w:cs="仿宋"/>
                <w:color w:val="000000"/>
                <w:sz w:val="24"/>
                <w:szCs w:val="28"/>
              </w:rPr>
            </w:pPr>
            <w:r>
              <w:rPr>
                <w:rFonts w:hint="eastAsia" w:ascii="仿宋" w:hAnsi="仿宋" w:eastAsia="仿宋" w:cs="仿宋"/>
                <w:color w:val="000000"/>
                <w:kern w:val="0"/>
                <w:sz w:val="24"/>
                <w:szCs w:val="28"/>
              </w:rPr>
              <w:t>aA</w:t>
            </w:r>
          </w:p>
        </w:tc>
        <w:tc>
          <w:tcPr>
            <w:tcW w:w="587" w:type="dxa"/>
            <w:tcBorders>
              <w:tl2br w:val="nil"/>
              <w:tr2bl w:val="nil"/>
            </w:tcBorders>
            <w:shd w:val="clear" w:color="auto" w:fill="auto"/>
            <w:tcMar>
              <w:top w:w="15" w:type="dxa"/>
              <w:left w:w="15" w:type="dxa"/>
              <w:right w:w="15" w:type="dxa"/>
            </w:tcMar>
            <w:vAlign w:val="center"/>
          </w:tcPr>
          <w:p>
            <w:pPr>
              <w:widowControl/>
              <w:spacing w:line="440" w:lineRule="exact"/>
              <w:jc w:val="right"/>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rPr>
              <w:t>3.5</w:t>
            </w:r>
          </w:p>
        </w:tc>
        <w:tc>
          <w:tcPr>
            <w:tcW w:w="562" w:type="dxa"/>
            <w:tcBorders>
              <w:tl2br w:val="nil"/>
              <w:tr2bl w:val="nil"/>
            </w:tcBorders>
            <w:shd w:val="clear" w:color="auto" w:fill="auto"/>
            <w:noWrap/>
            <w:tcMar>
              <w:top w:w="15" w:type="dxa"/>
              <w:left w:w="15" w:type="dxa"/>
              <w:right w:w="15" w:type="dxa"/>
            </w:tcMar>
            <w:vAlign w:val="center"/>
          </w:tcPr>
          <w:p>
            <w:pPr>
              <w:widowControl/>
              <w:spacing w:line="440" w:lineRule="exact"/>
              <w:jc w:val="left"/>
              <w:textAlignment w:val="center"/>
              <w:rPr>
                <w:rFonts w:hint="eastAsia" w:ascii="仿宋" w:hAnsi="仿宋" w:eastAsia="仿宋" w:cs="仿宋"/>
                <w:color w:val="000000"/>
                <w:sz w:val="24"/>
                <w:szCs w:val="28"/>
              </w:rPr>
            </w:pPr>
            <w:r>
              <w:rPr>
                <w:rFonts w:hint="eastAsia" w:ascii="仿宋" w:hAnsi="仿宋" w:eastAsia="仿宋" w:cs="仿宋"/>
                <w:color w:val="000000"/>
                <w:kern w:val="0"/>
                <w:sz w:val="24"/>
                <w:szCs w:val="28"/>
              </w:rPr>
              <w:t>aA</w:t>
            </w:r>
          </w:p>
        </w:tc>
        <w:tc>
          <w:tcPr>
            <w:tcW w:w="535" w:type="dxa"/>
            <w:tcBorders>
              <w:tl2br w:val="nil"/>
              <w:tr2bl w:val="nil"/>
            </w:tcBorders>
            <w:shd w:val="clear" w:color="auto" w:fill="auto"/>
            <w:tcMar>
              <w:top w:w="15" w:type="dxa"/>
              <w:left w:w="15" w:type="dxa"/>
              <w:right w:w="15" w:type="dxa"/>
            </w:tcMar>
            <w:vAlign w:val="center"/>
          </w:tcPr>
          <w:p>
            <w:pPr>
              <w:widowControl/>
              <w:spacing w:line="440" w:lineRule="exact"/>
              <w:jc w:val="right"/>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rPr>
              <w:t>4.7</w:t>
            </w:r>
          </w:p>
        </w:tc>
        <w:tc>
          <w:tcPr>
            <w:tcW w:w="522" w:type="dxa"/>
            <w:tcBorders>
              <w:tl2br w:val="nil"/>
              <w:tr2bl w:val="nil"/>
            </w:tcBorders>
            <w:shd w:val="clear" w:color="auto" w:fill="auto"/>
            <w:noWrap/>
            <w:tcMar>
              <w:top w:w="15" w:type="dxa"/>
              <w:left w:w="15" w:type="dxa"/>
              <w:right w:w="15" w:type="dxa"/>
            </w:tcMar>
            <w:vAlign w:val="center"/>
          </w:tcPr>
          <w:p>
            <w:pPr>
              <w:widowControl/>
              <w:spacing w:line="440" w:lineRule="exact"/>
              <w:jc w:val="left"/>
              <w:textAlignment w:val="center"/>
              <w:rPr>
                <w:rFonts w:hint="eastAsia" w:ascii="仿宋" w:hAnsi="仿宋" w:eastAsia="仿宋" w:cs="仿宋"/>
                <w:color w:val="000000"/>
                <w:sz w:val="24"/>
                <w:szCs w:val="28"/>
              </w:rPr>
            </w:pPr>
            <w:r>
              <w:rPr>
                <w:rFonts w:hint="eastAsia" w:ascii="仿宋" w:hAnsi="仿宋" w:eastAsia="仿宋" w:cs="仿宋"/>
                <w:color w:val="000000"/>
                <w:kern w:val="0"/>
                <w:sz w:val="24"/>
                <w:szCs w:val="28"/>
              </w:rPr>
              <w:t>aA</w:t>
            </w:r>
          </w:p>
        </w:tc>
        <w:tc>
          <w:tcPr>
            <w:tcW w:w="690" w:type="dxa"/>
            <w:tcBorders>
              <w:tl2br w:val="nil"/>
              <w:tr2bl w:val="nil"/>
            </w:tcBorders>
            <w:shd w:val="clear" w:color="auto" w:fill="auto"/>
            <w:tcMar>
              <w:top w:w="15" w:type="dxa"/>
              <w:left w:w="15" w:type="dxa"/>
              <w:right w:w="15" w:type="dxa"/>
            </w:tcMar>
            <w:vAlign w:val="center"/>
          </w:tcPr>
          <w:p>
            <w:pPr>
              <w:widowControl/>
              <w:spacing w:line="440" w:lineRule="exact"/>
              <w:jc w:val="right"/>
              <w:textAlignment w:val="center"/>
              <w:rPr>
                <w:rFonts w:hint="eastAsia" w:ascii="仿宋" w:hAnsi="仿宋" w:eastAsia="仿宋" w:cs="仿宋"/>
                <w:color w:val="000000"/>
                <w:kern w:val="0"/>
                <w:sz w:val="22"/>
                <w:szCs w:val="22"/>
              </w:rPr>
            </w:pPr>
            <w:r>
              <w:rPr>
                <w:rFonts w:hint="eastAsia" w:ascii="仿宋" w:hAnsi="仿宋" w:eastAsia="仿宋" w:cs="仿宋"/>
                <w:color w:val="000000"/>
                <w:kern w:val="0"/>
                <w:sz w:val="22"/>
                <w:szCs w:val="22"/>
              </w:rPr>
              <w:t>983.4</w:t>
            </w:r>
          </w:p>
        </w:tc>
        <w:tc>
          <w:tcPr>
            <w:tcW w:w="549" w:type="dxa"/>
            <w:tcBorders>
              <w:tl2br w:val="nil"/>
              <w:tr2bl w:val="nil"/>
            </w:tcBorders>
            <w:shd w:val="clear" w:color="auto" w:fill="auto"/>
            <w:noWrap/>
            <w:tcMar>
              <w:top w:w="15" w:type="dxa"/>
              <w:left w:w="15" w:type="dxa"/>
              <w:right w:w="15" w:type="dxa"/>
            </w:tcMar>
            <w:vAlign w:val="center"/>
          </w:tcPr>
          <w:p>
            <w:pPr>
              <w:widowControl/>
              <w:spacing w:line="440" w:lineRule="exact"/>
              <w:jc w:val="left"/>
              <w:textAlignment w:val="center"/>
              <w:rPr>
                <w:rFonts w:hint="eastAsia" w:ascii="仿宋" w:hAnsi="仿宋" w:eastAsia="仿宋" w:cs="仿宋"/>
                <w:color w:val="000000"/>
                <w:kern w:val="0"/>
                <w:sz w:val="22"/>
                <w:szCs w:val="22"/>
              </w:rPr>
            </w:pPr>
            <w:r>
              <w:rPr>
                <w:rFonts w:hint="eastAsia" w:ascii="仿宋" w:hAnsi="仿宋" w:eastAsia="仿宋" w:cs="仿宋"/>
                <w:color w:val="000000"/>
                <w:kern w:val="0"/>
                <w:sz w:val="22"/>
                <w:szCs w:val="22"/>
              </w:rPr>
              <w:t>aA</w:t>
            </w:r>
          </w:p>
        </w:tc>
      </w:tr>
      <w:tr>
        <w:tblPrEx>
          <w:tblBorders>
            <w:top w:val="single" w:color="000000" w:sz="18" w:space="0"/>
            <w:left w:val="none" w:color="auto" w:sz="0" w:space="0"/>
            <w:bottom w:val="single" w:color="000000" w:sz="18" w:space="0"/>
            <w:right w:val="none" w:color="auto" w:sz="0" w:space="0"/>
            <w:insideH w:val="none" w:color="auto" w:sz="0" w:space="0"/>
            <w:insideV w:val="none" w:color="auto" w:sz="0" w:space="0"/>
          </w:tblBorders>
          <w:tblCellMar>
            <w:top w:w="0" w:type="dxa"/>
            <w:left w:w="0" w:type="dxa"/>
            <w:bottom w:w="0" w:type="dxa"/>
            <w:right w:w="0" w:type="dxa"/>
          </w:tblCellMar>
        </w:tblPrEx>
        <w:trPr>
          <w:trHeight w:val="723" w:hRule="atLeast"/>
          <w:jc w:val="center"/>
        </w:trPr>
        <w:tc>
          <w:tcPr>
            <w:tcW w:w="704" w:type="dxa"/>
            <w:tcBorders>
              <w:tl2br w:val="nil"/>
              <w:tr2bl w:val="nil"/>
            </w:tcBorders>
            <w:shd w:val="clear" w:color="auto" w:fill="auto"/>
            <w:tcMar>
              <w:top w:w="15" w:type="dxa"/>
              <w:left w:w="15" w:type="dxa"/>
              <w:right w:w="15" w:type="dxa"/>
            </w:tcMar>
            <w:vAlign w:val="center"/>
          </w:tcPr>
          <w:p>
            <w:pPr>
              <w:widowControl/>
              <w:spacing w:line="440" w:lineRule="exact"/>
              <w:ind w:right="105"/>
              <w:jc w:val="right"/>
              <w:textAlignment w:val="center"/>
              <w:rPr>
                <w:rFonts w:hint="eastAsia" w:ascii="仿宋" w:hAnsi="仿宋" w:eastAsia="仿宋" w:cs="仿宋"/>
                <w:color w:val="000000"/>
                <w:kern w:val="0"/>
                <w:sz w:val="22"/>
                <w:szCs w:val="22"/>
              </w:rPr>
            </w:pPr>
            <w:r>
              <w:rPr>
                <w:rFonts w:hint="eastAsia" w:ascii="仿宋" w:hAnsi="仿宋" w:eastAsia="仿宋" w:cs="仿宋"/>
                <w:color w:val="000000"/>
                <w:kern w:val="0"/>
                <w:sz w:val="22"/>
                <w:szCs w:val="22"/>
              </w:rPr>
              <w:t>120d</w:t>
            </w:r>
          </w:p>
        </w:tc>
        <w:tc>
          <w:tcPr>
            <w:tcW w:w="586" w:type="dxa"/>
            <w:tcBorders>
              <w:tl2br w:val="nil"/>
              <w:tr2bl w:val="nil"/>
            </w:tcBorders>
            <w:shd w:val="clear" w:color="auto" w:fill="auto"/>
            <w:tcMar>
              <w:top w:w="15" w:type="dxa"/>
              <w:left w:w="15" w:type="dxa"/>
              <w:right w:w="15" w:type="dxa"/>
            </w:tcMar>
            <w:vAlign w:val="center"/>
          </w:tcPr>
          <w:p>
            <w:pPr>
              <w:widowControl/>
              <w:spacing w:line="440" w:lineRule="exact"/>
              <w:jc w:val="right"/>
              <w:textAlignment w:val="center"/>
              <w:rPr>
                <w:rFonts w:hint="eastAsia" w:ascii="仿宋" w:hAnsi="仿宋" w:eastAsia="仿宋" w:cs="仿宋"/>
                <w:color w:val="000000"/>
                <w:kern w:val="0"/>
                <w:sz w:val="22"/>
                <w:szCs w:val="22"/>
              </w:rPr>
            </w:pPr>
            <w:r>
              <w:rPr>
                <w:rFonts w:hint="eastAsia" w:ascii="仿宋" w:hAnsi="仿宋" w:eastAsia="仿宋" w:cs="仿宋"/>
                <w:color w:val="000000"/>
                <w:kern w:val="0"/>
                <w:sz w:val="22"/>
                <w:szCs w:val="22"/>
              </w:rPr>
              <w:t>96.1</w:t>
            </w:r>
          </w:p>
        </w:tc>
        <w:tc>
          <w:tcPr>
            <w:tcW w:w="498" w:type="dxa"/>
            <w:tcBorders>
              <w:tl2br w:val="nil"/>
              <w:tr2bl w:val="nil"/>
            </w:tcBorders>
            <w:shd w:val="clear" w:color="auto" w:fill="auto"/>
            <w:noWrap/>
            <w:tcMar>
              <w:top w:w="15" w:type="dxa"/>
              <w:left w:w="15" w:type="dxa"/>
              <w:right w:w="15" w:type="dxa"/>
            </w:tcMar>
            <w:vAlign w:val="center"/>
          </w:tcPr>
          <w:p>
            <w:pPr>
              <w:widowControl/>
              <w:spacing w:line="440" w:lineRule="exact"/>
              <w:jc w:val="left"/>
              <w:textAlignment w:val="center"/>
              <w:rPr>
                <w:rFonts w:hint="eastAsia" w:ascii="仿宋" w:hAnsi="仿宋" w:eastAsia="仿宋" w:cs="仿宋"/>
                <w:color w:val="000000"/>
                <w:kern w:val="0"/>
                <w:sz w:val="22"/>
                <w:szCs w:val="22"/>
              </w:rPr>
            </w:pPr>
            <w:r>
              <w:rPr>
                <w:rFonts w:hint="eastAsia" w:ascii="仿宋" w:hAnsi="仿宋" w:eastAsia="仿宋" w:cs="仿宋"/>
                <w:color w:val="000000"/>
                <w:kern w:val="0"/>
                <w:sz w:val="22"/>
                <w:szCs w:val="22"/>
              </w:rPr>
              <w:t>abAB</w:t>
            </w:r>
          </w:p>
        </w:tc>
        <w:tc>
          <w:tcPr>
            <w:tcW w:w="588" w:type="dxa"/>
            <w:tcBorders>
              <w:tl2br w:val="nil"/>
              <w:tr2bl w:val="nil"/>
            </w:tcBorders>
            <w:shd w:val="clear" w:color="auto" w:fill="auto"/>
            <w:tcMar>
              <w:top w:w="15" w:type="dxa"/>
              <w:left w:w="15" w:type="dxa"/>
              <w:right w:w="15" w:type="dxa"/>
            </w:tcMar>
            <w:vAlign w:val="center"/>
          </w:tcPr>
          <w:p>
            <w:pPr>
              <w:widowControl/>
              <w:spacing w:line="440" w:lineRule="exact"/>
              <w:jc w:val="right"/>
              <w:textAlignment w:val="center"/>
              <w:rPr>
                <w:rFonts w:hint="eastAsia" w:ascii="仿宋" w:hAnsi="仿宋" w:eastAsia="仿宋" w:cs="仿宋"/>
                <w:color w:val="000000"/>
                <w:kern w:val="0"/>
                <w:sz w:val="22"/>
                <w:szCs w:val="22"/>
              </w:rPr>
            </w:pPr>
            <w:r>
              <w:rPr>
                <w:rFonts w:hint="eastAsia" w:ascii="仿宋" w:hAnsi="仿宋" w:eastAsia="仿宋" w:cs="仿宋"/>
                <w:color w:val="000000"/>
                <w:kern w:val="0"/>
                <w:sz w:val="22"/>
                <w:szCs w:val="22"/>
              </w:rPr>
              <w:t>30.8</w:t>
            </w:r>
          </w:p>
        </w:tc>
        <w:tc>
          <w:tcPr>
            <w:tcW w:w="522" w:type="dxa"/>
            <w:tcBorders>
              <w:tl2br w:val="nil"/>
              <w:tr2bl w:val="nil"/>
            </w:tcBorders>
            <w:shd w:val="clear" w:color="auto" w:fill="auto"/>
            <w:noWrap/>
            <w:tcMar>
              <w:top w:w="15" w:type="dxa"/>
              <w:left w:w="15" w:type="dxa"/>
              <w:right w:w="15" w:type="dxa"/>
            </w:tcMar>
            <w:vAlign w:val="center"/>
          </w:tcPr>
          <w:p>
            <w:pPr>
              <w:widowControl/>
              <w:spacing w:line="440" w:lineRule="exact"/>
              <w:jc w:val="left"/>
              <w:textAlignment w:val="center"/>
              <w:rPr>
                <w:rFonts w:hint="eastAsia" w:ascii="仿宋" w:hAnsi="仿宋" w:eastAsia="仿宋" w:cs="仿宋"/>
                <w:color w:val="000000"/>
                <w:kern w:val="0"/>
                <w:sz w:val="22"/>
                <w:szCs w:val="22"/>
              </w:rPr>
            </w:pPr>
            <w:r>
              <w:rPr>
                <w:rFonts w:hint="eastAsia" w:ascii="仿宋" w:hAnsi="仿宋" w:eastAsia="仿宋" w:cs="仿宋"/>
                <w:color w:val="000000"/>
                <w:kern w:val="0"/>
                <w:sz w:val="22"/>
                <w:szCs w:val="22"/>
              </w:rPr>
              <w:t>bB</w:t>
            </w:r>
          </w:p>
        </w:tc>
        <w:tc>
          <w:tcPr>
            <w:tcW w:w="574" w:type="dxa"/>
            <w:tcBorders>
              <w:tl2br w:val="nil"/>
              <w:tr2bl w:val="nil"/>
            </w:tcBorders>
            <w:shd w:val="clear" w:color="auto" w:fill="auto"/>
            <w:tcMar>
              <w:top w:w="15" w:type="dxa"/>
              <w:left w:w="15" w:type="dxa"/>
              <w:right w:w="15" w:type="dxa"/>
            </w:tcMar>
            <w:vAlign w:val="center"/>
          </w:tcPr>
          <w:p>
            <w:pPr>
              <w:widowControl/>
              <w:spacing w:line="440" w:lineRule="exact"/>
              <w:jc w:val="right"/>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rPr>
              <w:t>24.9</w:t>
            </w:r>
          </w:p>
        </w:tc>
        <w:tc>
          <w:tcPr>
            <w:tcW w:w="510" w:type="dxa"/>
            <w:tcBorders>
              <w:tl2br w:val="nil"/>
              <w:tr2bl w:val="nil"/>
            </w:tcBorders>
            <w:shd w:val="clear" w:color="auto" w:fill="auto"/>
            <w:noWrap/>
            <w:tcMar>
              <w:top w:w="15" w:type="dxa"/>
              <w:left w:w="15" w:type="dxa"/>
              <w:right w:w="15" w:type="dxa"/>
            </w:tcMar>
            <w:vAlign w:val="center"/>
          </w:tcPr>
          <w:p>
            <w:pPr>
              <w:widowControl/>
              <w:spacing w:line="440" w:lineRule="exact"/>
              <w:jc w:val="left"/>
              <w:textAlignment w:val="center"/>
              <w:rPr>
                <w:rFonts w:hint="eastAsia" w:ascii="仿宋" w:hAnsi="仿宋" w:eastAsia="仿宋" w:cs="仿宋"/>
                <w:color w:val="000000"/>
                <w:sz w:val="24"/>
                <w:szCs w:val="28"/>
              </w:rPr>
            </w:pPr>
            <w:r>
              <w:rPr>
                <w:rFonts w:hint="eastAsia" w:ascii="仿宋" w:hAnsi="仿宋" w:eastAsia="仿宋" w:cs="仿宋"/>
                <w:color w:val="000000"/>
                <w:kern w:val="0"/>
                <w:sz w:val="24"/>
                <w:szCs w:val="28"/>
              </w:rPr>
              <w:t>aA</w:t>
            </w:r>
          </w:p>
        </w:tc>
        <w:tc>
          <w:tcPr>
            <w:tcW w:w="600" w:type="dxa"/>
            <w:tcBorders>
              <w:tl2br w:val="nil"/>
              <w:tr2bl w:val="nil"/>
            </w:tcBorders>
            <w:shd w:val="clear" w:color="auto" w:fill="auto"/>
            <w:tcMar>
              <w:top w:w="15" w:type="dxa"/>
              <w:left w:w="15" w:type="dxa"/>
              <w:right w:w="15" w:type="dxa"/>
            </w:tcMar>
            <w:vAlign w:val="center"/>
          </w:tcPr>
          <w:p>
            <w:pPr>
              <w:widowControl/>
              <w:spacing w:line="440" w:lineRule="exact"/>
              <w:jc w:val="right"/>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rPr>
              <w:t>151.3</w:t>
            </w:r>
          </w:p>
        </w:tc>
        <w:tc>
          <w:tcPr>
            <w:tcW w:w="509" w:type="dxa"/>
            <w:tcBorders>
              <w:tl2br w:val="nil"/>
              <w:tr2bl w:val="nil"/>
            </w:tcBorders>
            <w:shd w:val="clear" w:color="auto" w:fill="auto"/>
            <w:noWrap/>
            <w:tcMar>
              <w:top w:w="15" w:type="dxa"/>
              <w:left w:w="15" w:type="dxa"/>
              <w:right w:w="15" w:type="dxa"/>
            </w:tcMar>
            <w:vAlign w:val="center"/>
          </w:tcPr>
          <w:p>
            <w:pPr>
              <w:widowControl/>
              <w:spacing w:line="440" w:lineRule="exact"/>
              <w:jc w:val="left"/>
              <w:textAlignment w:val="center"/>
              <w:rPr>
                <w:rFonts w:hint="eastAsia" w:ascii="仿宋" w:hAnsi="仿宋" w:eastAsia="仿宋" w:cs="仿宋"/>
                <w:color w:val="000000"/>
                <w:sz w:val="24"/>
                <w:szCs w:val="28"/>
              </w:rPr>
            </w:pPr>
            <w:r>
              <w:rPr>
                <w:rFonts w:hint="eastAsia" w:ascii="仿宋" w:hAnsi="仿宋" w:eastAsia="仿宋" w:cs="仿宋"/>
                <w:color w:val="000000"/>
                <w:kern w:val="0"/>
                <w:sz w:val="24"/>
                <w:szCs w:val="28"/>
              </w:rPr>
              <w:t>bB</w:t>
            </w:r>
          </w:p>
        </w:tc>
        <w:tc>
          <w:tcPr>
            <w:tcW w:w="587" w:type="dxa"/>
            <w:tcBorders>
              <w:tl2br w:val="nil"/>
              <w:tr2bl w:val="nil"/>
            </w:tcBorders>
            <w:shd w:val="clear" w:color="auto" w:fill="auto"/>
            <w:tcMar>
              <w:top w:w="15" w:type="dxa"/>
              <w:left w:w="15" w:type="dxa"/>
              <w:right w:w="15" w:type="dxa"/>
            </w:tcMar>
            <w:vAlign w:val="center"/>
          </w:tcPr>
          <w:p>
            <w:pPr>
              <w:widowControl/>
              <w:spacing w:line="440" w:lineRule="exact"/>
              <w:jc w:val="right"/>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rPr>
              <w:t>3.5</w:t>
            </w:r>
          </w:p>
        </w:tc>
        <w:tc>
          <w:tcPr>
            <w:tcW w:w="562" w:type="dxa"/>
            <w:tcBorders>
              <w:tl2br w:val="nil"/>
              <w:tr2bl w:val="nil"/>
            </w:tcBorders>
            <w:shd w:val="clear" w:color="auto" w:fill="auto"/>
            <w:noWrap/>
            <w:tcMar>
              <w:top w:w="15" w:type="dxa"/>
              <w:left w:w="15" w:type="dxa"/>
              <w:right w:w="15" w:type="dxa"/>
            </w:tcMar>
            <w:vAlign w:val="center"/>
          </w:tcPr>
          <w:p>
            <w:pPr>
              <w:widowControl/>
              <w:spacing w:line="440" w:lineRule="exact"/>
              <w:jc w:val="left"/>
              <w:textAlignment w:val="center"/>
              <w:rPr>
                <w:rFonts w:hint="eastAsia" w:ascii="仿宋" w:hAnsi="仿宋" w:eastAsia="仿宋" w:cs="仿宋"/>
                <w:color w:val="000000"/>
                <w:sz w:val="24"/>
                <w:szCs w:val="28"/>
              </w:rPr>
            </w:pPr>
            <w:r>
              <w:rPr>
                <w:rFonts w:hint="eastAsia" w:ascii="仿宋" w:hAnsi="仿宋" w:eastAsia="仿宋" w:cs="仿宋"/>
                <w:color w:val="000000"/>
                <w:kern w:val="0"/>
                <w:sz w:val="24"/>
                <w:szCs w:val="28"/>
              </w:rPr>
              <w:t>aA</w:t>
            </w:r>
          </w:p>
        </w:tc>
        <w:tc>
          <w:tcPr>
            <w:tcW w:w="535" w:type="dxa"/>
            <w:tcBorders>
              <w:tl2br w:val="nil"/>
              <w:tr2bl w:val="nil"/>
            </w:tcBorders>
            <w:shd w:val="clear" w:color="auto" w:fill="auto"/>
            <w:tcMar>
              <w:top w:w="15" w:type="dxa"/>
              <w:left w:w="15" w:type="dxa"/>
              <w:right w:w="15" w:type="dxa"/>
            </w:tcMar>
            <w:vAlign w:val="center"/>
          </w:tcPr>
          <w:p>
            <w:pPr>
              <w:widowControl/>
              <w:spacing w:line="440" w:lineRule="exact"/>
              <w:jc w:val="right"/>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rPr>
              <w:t>3.5</w:t>
            </w:r>
          </w:p>
        </w:tc>
        <w:tc>
          <w:tcPr>
            <w:tcW w:w="522" w:type="dxa"/>
            <w:tcBorders>
              <w:tl2br w:val="nil"/>
              <w:tr2bl w:val="nil"/>
            </w:tcBorders>
            <w:shd w:val="clear" w:color="auto" w:fill="auto"/>
            <w:noWrap/>
            <w:tcMar>
              <w:top w:w="15" w:type="dxa"/>
              <w:left w:w="15" w:type="dxa"/>
              <w:right w:w="15" w:type="dxa"/>
            </w:tcMar>
            <w:vAlign w:val="center"/>
          </w:tcPr>
          <w:p>
            <w:pPr>
              <w:widowControl/>
              <w:spacing w:line="440" w:lineRule="exact"/>
              <w:jc w:val="left"/>
              <w:textAlignment w:val="center"/>
              <w:rPr>
                <w:rFonts w:hint="eastAsia" w:ascii="仿宋" w:hAnsi="仿宋" w:eastAsia="仿宋" w:cs="仿宋"/>
                <w:color w:val="000000"/>
                <w:sz w:val="24"/>
                <w:szCs w:val="28"/>
              </w:rPr>
            </w:pPr>
            <w:r>
              <w:rPr>
                <w:rFonts w:hint="eastAsia" w:ascii="仿宋" w:hAnsi="仿宋" w:eastAsia="仿宋" w:cs="仿宋"/>
                <w:color w:val="000000"/>
                <w:kern w:val="0"/>
                <w:sz w:val="24"/>
                <w:szCs w:val="28"/>
              </w:rPr>
              <w:t>bB</w:t>
            </w:r>
          </w:p>
        </w:tc>
        <w:tc>
          <w:tcPr>
            <w:tcW w:w="690" w:type="dxa"/>
            <w:tcBorders>
              <w:tl2br w:val="nil"/>
              <w:tr2bl w:val="nil"/>
            </w:tcBorders>
            <w:shd w:val="clear" w:color="auto" w:fill="auto"/>
            <w:tcMar>
              <w:top w:w="15" w:type="dxa"/>
              <w:left w:w="15" w:type="dxa"/>
              <w:right w:w="15" w:type="dxa"/>
            </w:tcMar>
            <w:vAlign w:val="center"/>
          </w:tcPr>
          <w:p>
            <w:pPr>
              <w:widowControl/>
              <w:spacing w:line="440" w:lineRule="exact"/>
              <w:jc w:val="right"/>
              <w:textAlignment w:val="center"/>
              <w:rPr>
                <w:rFonts w:hint="eastAsia" w:ascii="仿宋" w:hAnsi="仿宋" w:eastAsia="仿宋" w:cs="仿宋"/>
                <w:color w:val="000000"/>
                <w:kern w:val="0"/>
                <w:sz w:val="22"/>
                <w:szCs w:val="22"/>
              </w:rPr>
            </w:pPr>
            <w:r>
              <w:rPr>
                <w:rFonts w:hint="eastAsia" w:ascii="仿宋" w:hAnsi="仿宋" w:eastAsia="仿宋" w:cs="仿宋"/>
                <w:color w:val="000000"/>
                <w:kern w:val="0"/>
                <w:sz w:val="22"/>
                <w:szCs w:val="22"/>
              </w:rPr>
              <w:t>867.3</w:t>
            </w:r>
          </w:p>
        </w:tc>
        <w:tc>
          <w:tcPr>
            <w:tcW w:w="549" w:type="dxa"/>
            <w:tcBorders>
              <w:tl2br w:val="nil"/>
              <w:tr2bl w:val="nil"/>
            </w:tcBorders>
            <w:shd w:val="clear" w:color="auto" w:fill="auto"/>
            <w:noWrap/>
            <w:tcMar>
              <w:top w:w="15" w:type="dxa"/>
              <w:left w:w="15" w:type="dxa"/>
              <w:right w:w="15" w:type="dxa"/>
            </w:tcMar>
            <w:vAlign w:val="center"/>
          </w:tcPr>
          <w:p>
            <w:pPr>
              <w:widowControl/>
              <w:spacing w:line="440" w:lineRule="exact"/>
              <w:jc w:val="left"/>
              <w:textAlignment w:val="center"/>
              <w:rPr>
                <w:rFonts w:hint="eastAsia" w:ascii="仿宋" w:hAnsi="仿宋" w:eastAsia="仿宋" w:cs="仿宋"/>
                <w:color w:val="000000"/>
                <w:kern w:val="0"/>
                <w:sz w:val="22"/>
                <w:szCs w:val="22"/>
              </w:rPr>
            </w:pPr>
            <w:r>
              <w:rPr>
                <w:rFonts w:hint="eastAsia" w:ascii="仿宋" w:hAnsi="仿宋" w:eastAsia="仿宋" w:cs="仿宋"/>
                <w:color w:val="000000"/>
                <w:kern w:val="0"/>
                <w:sz w:val="22"/>
                <w:szCs w:val="22"/>
              </w:rPr>
              <w:t>bB</w:t>
            </w:r>
          </w:p>
        </w:tc>
      </w:tr>
      <w:tr>
        <w:tblPrEx>
          <w:tblBorders>
            <w:top w:val="single" w:color="000000" w:sz="18" w:space="0"/>
            <w:left w:val="none" w:color="auto" w:sz="0" w:space="0"/>
            <w:bottom w:val="single" w:color="000000" w:sz="18" w:space="0"/>
            <w:right w:val="none" w:color="auto" w:sz="0" w:space="0"/>
            <w:insideH w:val="none" w:color="auto" w:sz="0" w:space="0"/>
            <w:insideV w:val="none" w:color="auto" w:sz="0" w:space="0"/>
          </w:tblBorders>
          <w:tblCellMar>
            <w:top w:w="0" w:type="dxa"/>
            <w:left w:w="0" w:type="dxa"/>
            <w:bottom w:w="0" w:type="dxa"/>
            <w:right w:w="0" w:type="dxa"/>
          </w:tblCellMar>
        </w:tblPrEx>
        <w:trPr>
          <w:trHeight w:val="878" w:hRule="atLeast"/>
          <w:jc w:val="center"/>
        </w:trPr>
        <w:tc>
          <w:tcPr>
            <w:tcW w:w="704" w:type="dxa"/>
            <w:tcBorders>
              <w:tl2br w:val="nil"/>
              <w:tr2bl w:val="nil"/>
            </w:tcBorders>
            <w:shd w:val="clear" w:color="auto" w:fill="auto"/>
            <w:tcMar>
              <w:top w:w="15" w:type="dxa"/>
              <w:left w:w="15" w:type="dxa"/>
              <w:right w:w="15" w:type="dxa"/>
            </w:tcMar>
            <w:vAlign w:val="center"/>
          </w:tcPr>
          <w:p>
            <w:pPr>
              <w:widowControl/>
              <w:spacing w:line="440" w:lineRule="exact"/>
              <w:ind w:right="105"/>
              <w:jc w:val="right"/>
              <w:textAlignment w:val="center"/>
              <w:rPr>
                <w:rFonts w:hint="eastAsia" w:ascii="仿宋" w:hAnsi="仿宋" w:eastAsia="仿宋" w:cs="仿宋"/>
                <w:color w:val="000000"/>
                <w:kern w:val="0"/>
                <w:sz w:val="22"/>
                <w:szCs w:val="22"/>
              </w:rPr>
            </w:pPr>
            <w:r>
              <w:rPr>
                <w:rFonts w:hint="eastAsia" w:ascii="仿宋" w:hAnsi="仿宋" w:eastAsia="仿宋" w:cs="仿宋"/>
                <w:color w:val="000000"/>
                <w:kern w:val="0"/>
                <w:sz w:val="22"/>
                <w:szCs w:val="22"/>
              </w:rPr>
              <w:t>130d</w:t>
            </w:r>
          </w:p>
        </w:tc>
        <w:tc>
          <w:tcPr>
            <w:tcW w:w="586" w:type="dxa"/>
            <w:tcBorders>
              <w:tl2br w:val="nil"/>
              <w:tr2bl w:val="nil"/>
            </w:tcBorders>
            <w:shd w:val="clear" w:color="auto" w:fill="auto"/>
            <w:tcMar>
              <w:top w:w="15" w:type="dxa"/>
              <w:left w:w="15" w:type="dxa"/>
              <w:right w:w="15" w:type="dxa"/>
            </w:tcMar>
            <w:vAlign w:val="center"/>
          </w:tcPr>
          <w:p>
            <w:pPr>
              <w:widowControl/>
              <w:spacing w:line="440" w:lineRule="exact"/>
              <w:jc w:val="right"/>
              <w:textAlignment w:val="center"/>
              <w:rPr>
                <w:rFonts w:hint="eastAsia" w:ascii="仿宋" w:hAnsi="仿宋" w:eastAsia="仿宋" w:cs="仿宋"/>
                <w:color w:val="000000"/>
                <w:kern w:val="0"/>
                <w:sz w:val="22"/>
                <w:szCs w:val="22"/>
              </w:rPr>
            </w:pPr>
            <w:r>
              <w:rPr>
                <w:rFonts w:hint="eastAsia" w:ascii="仿宋" w:hAnsi="仿宋" w:eastAsia="仿宋" w:cs="仿宋"/>
                <w:color w:val="000000"/>
                <w:kern w:val="0"/>
                <w:sz w:val="22"/>
                <w:szCs w:val="22"/>
              </w:rPr>
              <w:t>96.9</w:t>
            </w:r>
          </w:p>
        </w:tc>
        <w:tc>
          <w:tcPr>
            <w:tcW w:w="498" w:type="dxa"/>
            <w:tcBorders>
              <w:tl2br w:val="nil"/>
              <w:tr2bl w:val="nil"/>
            </w:tcBorders>
            <w:shd w:val="clear" w:color="auto" w:fill="auto"/>
            <w:noWrap/>
            <w:tcMar>
              <w:top w:w="15" w:type="dxa"/>
              <w:left w:w="15" w:type="dxa"/>
              <w:right w:w="15" w:type="dxa"/>
            </w:tcMar>
            <w:vAlign w:val="center"/>
          </w:tcPr>
          <w:p>
            <w:pPr>
              <w:widowControl/>
              <w:spacing w:line="440" w:lineRule="exact"/>
              <w:jc w:val="left"/>
              <w:textAlignment w:val="center"/>
              <w:rPr>
                <w:rFonts w:hint="eastAsia" w:ascii="仿宋" w:hAnsi="仿宋" w:eastAsia="仿宋" w:cs="仿宋"/>
                <w:color w:val="000000"/>
                <w:kern w:val="0"/>
                <w:sz w:val="22"/>
                <w:szCs w:val="22"/>
              </w:rPr>
            </w:pPr>
            <w:r>
              <w:rPr>
                <w:rFonts w:hint="eastAsia" w:ascii="仿宋" w:hAnsi="仿宋" w:eastAsia="仿宋" w:cs="仿宋"/>
                <w:color w:val="000000"/>
                <w:kern w:val="0"/>
                <w:sz w:val="22"/>
                <w:szCs w:val="22"/>
              </w:rPr>
              <w:t>aA</w:t>
            </w:r>
          </w:p>
        </w:tc>
        <w:tc>
          <w:tcPr>
            <w:tcW w:w="588" w:type="dxa"/>
            <w:tcBorders>
              <w:tl2br w:val="nil"/>
              <w:tr2bl w:val="nil"/>
            </w:tcBorders>
            <w:shd w:val="clear" w:color="auto" w:fill="auto"/>
            <w:tcMar>
              <w:top w:w="15" w:type="dxa"/>
              <w:left w:w="15" w:type="dxa"/>
              <w:right w:w="15" w:type="dxa"/>
            </w:tcMar>
            <w:vAlign w:val="center"/>
          </w:tcPr>
          <w:p>
            <w:pPr>
              <w:widowControl/>
              <w:spacing w:line="440" w:lineRule="exact"/>
              <w:jc w:val="right"/>
              <w:textAlignment w:val="center"/>
              <w:rPr>
                <w:rFonts w:hint="eastAsia" w:ascii="仿宋" w:hAnsi="仿宋" w:eastAsia="仿宋" w:cs="仿宋"/>
                <w:color w:val="000000"/>
                <w:kern w:val="0"/>
                <w:sz w:val="22"/>
                <w:szCs w:val="22"/>
              </w:rPr>
            </w:pPr>
            <w:r>
              <w:rPr>
                <w:rFonts w:hint="eastAsia" w:ascii="仿宋" w:hAnsi="仿宋" w:eastAsia="仿宋" w:cs="仿宋"/>
                <w:color w:val="000000"/>
                <w:kern w:val="0"/>
                <w:sz w:val="22"/>
                <w:szCs w:val="22"/>
              </w:rPr>
              <w:t>63.6</w:t>
            </w:r>
          </w:p>
        </w:tc>
        <w:tc>
          <w:tcPr>
            <w:tcW w:w="522" w:type="dxa"/>
            <w:tcBorders>
              <w:tl2br w:val="nil"/>
              <w:tr2bl w:val="nil"/>
            </w:tcBorders>
            <w:shd w:val="clear" w:color="auto" w:fill="auto"/>
            <w:noWrap/>
            <w:tcMar>
              <w:top w:w="15" w:type="dxa"/>
              <w:left w:w="15" w:type="dxa"/>
              <w:right w:w="15" w:type="dxa"/>
            </w:tcMar>
            <w:vAlign w:val="center"/>
          </w:tcPr>
          <w:p>
            <w:pPr>
              <w:widowControl/>
              <w:spacing w:line="440" w:lineRule="exact"/>
              <w:jc w:val="left"/>
              <w:textAlignment w:val="center"/>
              <w:rPr>
                <w:rFonts w:hint="eastAsia" w:ascii="仿宋" w:hAnsi="仿宋" w:eastAsia="仿宋" w:cs="仿宋"/>
                <w:color w:val="000000"/>
                <w:kern w:val="0"/>
                <w:sz w:val="22"/>
                <w:szCs w:val="22"/>
              </w:rPr>
            </w:pPr>
            <w:r>
              <w:rPr>
                <w:rFonts w:hint="eastAsia" w:ascii="仿宋" w:hAnsi="仿宋" w:eastAsia="仿宋" w:cs="仿宋"/>
                <w:color w:val="000000"/>
                <w:kern w:val="0"/>
                <w:sz w:val="22"/>
                <w:szCs w:val="22"/>
              </w:rPr>
              <w:t>aA</w:t>
            </w:r>
          </w:p>
        </w:tc>
        <w:tc>
          <w:tcPr>
            <w:tcW w:w="574" w:type="dxa"/>
            <w:tcBorders>
              <w:tl2br w:val="nil"/>
              <w:tr2bl w:val="nil"/>
            </w:tcBorders>
            <w:shd w:val="clear" w:color="auto" w:fill="auto"/>
            <w:tcMar>
              <w:top w:w="15" w:type="dxa"/>
              <w:left w:w="15" w:type="dxa"/>
              <w:right w:w="15" w:type="dxa"/>
            </w:tcMar>
            <w:vAlign w:val="center"/>
          </w:tcPr>
          <w:p>
            <w:pPr>
              <w:widowControl/>
              <w:spacing w:line="440" w:lineRule="exact"/>
              <w:jc w:val="right"/>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rPr>
              <w:t>22.9</w:t>
            </w:r>
          </w:p>
        </w:tc>
        <w:tc>
          <w:tcPr>
            <w:tcW w:w="510" w:type="dxa"/>
            <w:tcBorders>
              <w:tl2br w:val="nil"/>
              <w:tr2bl w:val="nil"/>
            </w:tcBorders>
            <w:shd w:val="clear" w:color="auto" w:fill="auto"/>
            <w:noWrap/>
            <w:tcMar>
              <w:top w:w="15" w:type="dxa"/>
              <w:left w:w="15" w:type="dxa"/>
              <w:right w:w="15" w:type="dxa"/>
            </w:tcMar>
            <w:vAlign w:val="center"/>
          </w:tcPr>
          <w:p>
            <w:pPr>
              <w:widowControl/>
              <w:spacing w:line="440" w:lineRule="exact"/>
              <w:jc w:val="left"/>
              <w:textAlignment w:val="center"/>
              <w:rPr>
                <w:rFonts w:hint="eastAsia" w:ascii="仿宋" w:hAnsi="仿宋" w:eastAsia="仿宋" w:cs="仿宋"/>
                <w:color w:val="000000"/>
                <w:sz w:val="24"/>
                <w:szCs w:val="28"/>
              </w:rPr>
            </w:pPr>
            <w:r>
              <w:rPr>
                <w:rFonts w:hint="eastAsia" w:ascii="仿宋" w:hAnsi="仿宋" w:eastAsia="仿宋" w:cs="仿宋"/>
                <w:color w:val="000000"/>
                <w:kern w:val="0"/>
                <w:sz w:val="24"/>
                <w:szCs w:val="28"/>
              </w:rPr>
              <w:t>aA</w:t>
            </w:r>
          </w:p>
        </w:tc>
        <w:tc>
          <w:tcPr>
            <w:tcW w:w="600" w:type="dxa"/>
            <w:tcBorders>
              <w:tl2br w:val="nil"/>
              <w:tr2bl w:val="nil"/>
            </w:tcBorders>
            <w:shd w:val="clear" w:color="auto" w:fill="auto"/>
            <w:tcMar>
              <w:top w:w="15" w:type="dxa"/>
              <w:left w:w="15" w:type="dxa"/>
              <w:right w:w="15" w:type="dxa"/>
            </w:tcMar>
            <w:vAlign w:val="center"/>
          </w:tcPr>
          <w:p>
            <w:pPr>
              <w:widowControl/>
              <w:spacing w:line="440" w:lineRule="exact"/>
              <w:jc w:val="right"/>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rPr>
              <w:t>109.1</w:t>
            </w:r>
          </w:p>
        </w:tc>
        <w:tc>
          <w:tcPr>
            <w:tcW w:w="509" w:type="dxa"/>
            <w:tcBorders>
              <w:tl2br w:val="nil"/>
              <w:tr2bl w:val="nil"/>
            </w:tcBorders>
            <w:shd w:val="clear" w:color="auto" w:fill="auto"/>
            <w:noWrap/>
            <w:tcMar>
              <w:top w:w="15" w:type="dxa"/>
              <w:left w:w="15" w:type="dxa"/>
              <w:right w:w="15" w:type="dxa"/>
            </w:tcMar>
            <w:vAlign w:val="center"/>
          </w:tcPr>
          <w:p>
            <w:pPr>
              <w:widowControl/>
              <w:spacing w:line="440" w:lineRule="exact"/>
              <w:jc w:val="left"/>
              <w:textAlignment w:val="center"/>
              <w:rPr>
                <w:rFonts w:hint="eastAsia" w:ascii="仿宋" w:hAnsi="仿宋" w:eastAsia="仿宋" w:cs="仿宋"/>
                <w:color w:val="000000"/>
                <w:sz w:val="24"/>
                <w:szCs w:val="28"/>
              </w:rPr>
            </w:pPr>
            <w:r>
              <w:rPr>
                <w:rFonts w:hint="eastAsia" w:ascii="仿宋" w:hAnsi="仿宋" w:eastAsia="仿宋" w:cs="仿宋"/>
                <w:color w:val="000000"/>
                <w:kern w:val="0"/>
                <w:sz w:val="24"/>
                <w:szCs w:val="28"/>
              </w:rPr>
              <w:t>cC</w:t>
            </w:r>
          </w:p>
        </w:tc>
        <w:tc>
          <w:tcPr>
            <w:tcW w:w="587" w:type="dxa"/>
            <w:tcBorders>
              <w:tl2br w:val="nil"/>
              <w:tr2bl w:val="nil"/>
            </w:tcBorders>
            <w:shd w:val="clear" w:color="auto" w:fill="auto"/>
            <w:tcMar>
              <w:top w:w="15" w:type="dxa"/>
              <w:left w:w="15" w:type="dxa"/>
              <w:right w:w="15" w:type="dxa"/>
            </w:tcMar>
            <w:vAlign w:val="center"/>
          </w:tcPr>
          <w:p>
            <w:pPr>
              <w:widowControl/>
              <w:spacing w:line="440" w:lineRule="exact"/>
              <w:jc w:val="right"/>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rPr>
              <w:t>1.9</w:t>
            </w:r>
          </w:p>
        </w:tc>
        <w:tc>
          <w:tcPr>
            <w:tcW w:w="562" w:type="dxa"/>
            <w:tcBorders>
              <w:tl2br w:val="nil"/>
              <w:tr2bl w:val="nil"/>
            </w:tcBorders>
            <w:shd w:val="clear" w:color="auto" w:fill="auto"/>
            <w:noWrap/>
            <w:tcMar>
              <w:top w:w="15" w:type="dxa"/>
              <w:left w:w="15" w:type="dxa"/>
              <w:right w:w="15" w:type="dxa"/>
            </w:tcMar>
            <w:vAlign w:val="center"/>
          </w:tcPr>
          <w:p>
            <w:pPr>
              <w:widowControl/>
              <w:spacing w:line="440" w:lineRule="exact"/>
              <w:jc w:val="left"/>
              <w:textAlignment w:val="center"/>
              <w:rPr>
                <w:rFonts w:hint="eastAsia" w:ascii="仿宋" w:hAnsi="仿宋" w:eastAsia="仿宋" w:cs="仿宋"/>
                <w:color w:val="000000"/>
                <w:sz w:val="24"/>
                <w:szCs w:val="28"/>
              </w:rPr>
            </w:pPr>
            <w:r>
              <w:rPr>
                <w:rFonts w:hint="eastAsia" w:ascii="仿宋" w:hAnsi="仿宋" w:eastAsia="仿宋" w:cs="仿宋"/>
                <w:color w:val="000000"/>
                <w:kern w:val="0"/>
                <w:sz w:val="24"/>
                <w:szCs w:val="28"/>
              </w:rPr>
              <w:t>bB</w:t>
            </w:r>
          </w:p>
        </w:tc>
        <w:tc>
          <w:tcPr>
            <w:tcW w:w="535" w:type="dxa"/>
            <w:tcBorders>
              <w:tl2br w:val="nil"/>
              <w:tr2bl w:val="nil"/>
            </w:tcBorders>
            <w:shd w:val="clear" w:color="auto" w:fill="auto"/>
            <w:tcMar>
              <w:top w:w="15" w:type="dxa"/>
              <w:left w:w="15" w:type="dxa"/>
              <w:right w:w="15" w:type="dxa"/>
            </w:tcMar>
            <w:vAlign w:val="center"/>
          </w:tcPr>
          <w:p>
            <w:pPr>
              <w:widowControl/>
              <w:spacing w:line="440" w:lineRule="exact"/>
              <w:jc w:val="right"/>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rPr>
              <w:t>2.0</w:t>
            </w:r>
          </w:p>
        </w:tc>
        <w:tc>
          <w:tcPr>
            <w:tcW w:w="522" w:type="dxa"/>
            <w:tcBorders>
              <w:tl2br w:val="nil"/>
              <w:tr2bl w:val="nil"/>
            </w:tcBorders>
            <w:shd w:val="clear" w:color="auto" w:fill="auto"/>
            <w:noWrap/>
            <w:tcMar>
              <w:top w:w="15" w:type="dxa"/>
              <w:left w:w="15" w:type="dxa"/>
              <w:right w:w="15" w:type="dxa"/>
            </w:tcMar>
            <w:vAlign w:val="center"/>
          </w:tcPr>
          <w:p>
            <w:pPr>
              <w:widowControl/>
              <w:spacing w:line="440" w:lineRule="exact"/>
              <w:jc w:val="left"/>
              <w:textAlignment w:val="center"/>
              <w:rPr>
                <w:rFonts w:hint="eastAsia" w:ascii="仿宋" w:hAnsi="仿宋" w:eastAsia="仿宋" w:cs="仿宋"/>
                <w:color w:val="000000"/>
                <w:sz w:val="24"/>
                <w:szCs w:val="28"/>
              </w:rPr>
            </w:pPr>
            <w:r>
              <w:rPr>
                <w:rFonts w:hint="eastAsia" w:ascii="仿宋" w:hAnsi="仿宋" w:eastAsia="仿宋" w:cs="仿宋"/>
                <w:color w:val="000000"/>
                <w:kern w:val="0"/>
                <w:sz w:val="24"/>
                <w:szCs w:val="28"/>
              </w:rPr>
              <w:t>cC</w:t>
            </w:r>
          </w:p>
        </w:tc>
        <w:tc>
          <w:tcPr>
            <w:tcW w:w="690" w:type="dxa"/>
            <w:tcBorders>
              <w:tl2br w:val="nil"/>
              <w:tr2bl w:val="nil"/>
            </w:tcBorders>
            <w:shd w:val="clear" w:color="auto" w:fill="auto"/>
            <w:tcMar>
              <w:top w:w="15" w:type="dxa"/>
              <w:left w:w="15" w:type="dxa"/>
              <w:right w:w="15" w:type="dxa"/>
            </w:tcMar>
            <w:vAlign w:val="center"/>
          </w:tcPr>
          <w:p>
            <w:pPr>
              <w:widowControl/>
              <w:spacing w:line="440" w:lineRule="exact"/>
              <w:jc w:val="right"/>
              <w:textAlignment w:val="center"/>
              <w:rPr>
                <w:rFonts w:hint="eastAsia" w:ascii="仿宋" w:hAnsi="仿宋" w:eastAsia="仿宋" w:cs="仿宋"/>
                <w:color w:val="000000"/>
                <w:kern w:val="0"/>
                <w:sz w:val="22"/>
                <w:szCs w:val="22"/>
              </w:rPr>
            </w:pPr>
            <w:r>
              <w:rPr>
                <w:rFonts w:hint="eastAsia" w:ascii="仿宋" w:hAnsi="仿宋" w:eastAsia="仿宋" w:cs="仿宋"/>
                <w:color w:val="000000"/>
                <w:kern w:val="0"/>
                <w:sz w:val="22"/>
                <w:szCs w:val="22"/>
              </w:rPr>
              <w:t>518.6</w:t>
            </w:r>
          </w:p>
        </w:tc>
        <w:tc>
          <w:tcPr>
            <w:tcW w:w="549" w:type="dxa"/>
            <w:tcBorders>
              <w:tl2br w:val="nil"/>
              <w:tr2bl w:val="nil"/>
            </w:tcBorders>
            <w:shd w:val="clear" w:color="auto" w:fill="auto"/>
            <w:noWrap/>
            <w:tcMar>
              <w:top w:w="15" w:type="dxa"/>
              <w:left w:w="15" w:type="dxa"/>
              <w:right w:w="15" w:type="dxa"/>
            </w:tcMar>
            <w:vAlign w:val="center"/>
          </w:tcPr>
          <w:p>
            <w:pPr>
              <w:widowControl/>
              <w:spacing w:line="440" w:lineRule="exact"/>
              <w:jc w:val="left"/>
              <w:textAlignment w:val="center"/>
              <w:rPr>
                <w:rFonts w:hint="eastAsia" w:ascii="仿宋" w:hAnsi="仿宋" w:eastAsia="仿宋" w:cs="仿宋"/>
                <w:color w:val="000000"/>
                <w:kern w:val="0"/>
                <w:sz w:val="22"/>
                <w:szCs w:val="22"/>
              </w:rPr>
            </w:pPr>
            <w:r>
              <w:rPr>
                <w:rFonts w:hint="eastAsia" w:ascii="仿宋" w:hAnsi="仿宋" w:eastAsia="仿宋" w:cs="仿宋"/>
                <w:color w:val="000000"/>
                <w:kern w:val="0"/>
                <w:sz w:val="22"/>
                <w:szCs w:val="22"/>
              </w:rPr>
              <w:t>dD</w:t>
            </w:r>
          </w:p>
        </w:tc>
      </w:tr>
    </w:tbl>
    <w:p>
      <w:pPr>
        <w:jc w:val="both"/>
      </w:pPr>
    </w:p>
    <w:p>
      <w:pPr>
        <w:jc w:val="center"/>
      </w:pPr>
      <w:r>
        <w:rPr>
          <w:rFonts w:asciiTheme="majorEastAsia" w:hAnsiTheme="majorEastAsia" w:eastAsiaTheme="majorEastAsia"/>
          <w:b/>
          <w:sz w:val="28"/>
          <w:szCs w:val="28"/>
        </w:rPr>
        <w:drawing>
          <wp:anchor distT="0" distB="0" distL="114300" distR="114300" simplePos="0" relativeHeight="251659264" behindDoc="1" locked="0" layoutInCell="1" allowOverlap="1">
            <wp:simplePos x="0" y="0"/>
            <wp:positionH relativeFrom="column">
              <wp:posOffset>-247650</wp:posOffset>
            </wp:positionH>
            <wp:positionV relativeFrom="paragraph">
              <wp:posOffset>194945</wp:posOffset>
            </wp:positionV>
            <wp:extent cx="5574030" cy="3162300"/>
            <wp:effectExtent l="4445" t="4445" r="60325" b="14605"/>
            <wp:wrapTight wrapText="bothSides">
              <wp:wrapPolygon>
                <wp:start x="-17" y="-30"/>
                <wp:lineTo x="-17" y="21570"/>
                <wp:lineTo x="21538" y="21570"/>
                <wp:lineTo x="21538" y="-30"/>
                <wp:lineTo x="-17" y="-30"/>
              </wp:wrapPolygon>
            </wp:wrapTight>
            <wp:docPr id="9"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anchor>
        </w:drawing>
      </w:r>
      <w: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jc w:val="center"/>
        <w:textAlignment w:val="auto"/>
        <w:rPr>
          <w:rFonts w:hint="eastAsia"/>
        </w:rPr>
      </w:pPr>
      <w:r>
        <w:rPr>
          <w:rFonts w:hint="eastAsia" w:ascii="仿宋" w:hAnsi="仿宋" w:eastAsia="仿宋" w:cs="仿宋"/>
          <w:kern w:val="2"/>
          <w:sz w:val="32"/>
          <w:szCs w:val="32"/>
          <w:lang w:val="en-US" w:eastAsia="zh-CN" w:bidi="ar-SA"/>
        </w:rPr>
        <w:t>图1   不同苗龄种苗的早薹率变化趋势</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试验结果表明，除80d的成活率为83.3%之外，90d以上的成活率均在90%以上。苗龄越大呈现抽薹越早、抽薹率越高的趋势。其中80～100d的其抽薹率无显著差异，平均为15.8%， 但与120d、130d之间差异极为显著，其抽薹率分别提高15.0个百分点、47.8个百分点。由图1可见，80d的处理早薹高峰期在7月10日左右，90d处理早薹高发期在7月5日左右，100d、110d处理的早薹高发期在6月30日左右，120d的处理早薹高峰期在6月25日左右，130d的处理，早薹高峰期在6月20日左右，即随着苗龄逐渐增大，早薹率高峰期也逐渐提前，主要是因为苗龄越大，种苗营养成分积累越多，移栽后长势旺盛，抽薹越早。</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不同苗龄对根长无显著影响；单根鲜重100～110d无显著差异，平均为172.0g，分别比120d、90d、80d、130d增重13.7%、24.8%、46.0%、57.6%,80d、130d间无显著差异；归头粗100～120d的无显著差异，平均为3.6cm，比80d、90d、130d分别增粗71.4%、56.5%、44.0%，80d、90d、130d间无显著差异；归头长100～110d无显著差异，平均为4.6cm，较80d、90d、120d、130d分别增长142.1%、58.6%、84.0%、130.0%， 其余间无显著差异。说明用100～110d定值的当归主要质量性状明显较好。</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产量以100～110d的最高，为982.1kg/667㎡，极显著高于其他苗龄，依次为120d、90d、80d、130d，分别增产13.2%、24.4%、56.3%、66.8%。</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left"/>
        <w:textAlignment w:val="auto"/>
        <w:rPr>
          <w:rFonts w:hint="default"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综上所述，当归种苗</w:t>
      </w:r>
    </w:p>
    <w:p>
      <w:pPr>
        <w:keepNext w:val="0"/>
        <w:keepLines w:val="0"/>
        <w:pageBreakBefore w:val="0"/>
        <w:widowControl w:val="0"/>
        <w:numPr>
          <w:ilvl w:val="0"/>
          <w:numId w:val="0"/>
        </w:numPr>
        <w:kinsoku/>
        <w:wordWrap/>
        <w:overflowPunct/>
        <w:topLinePunct w:val="0"/>
        <w:autoSpaceDE/>
        <w:autoSpaceDN/>
        <w:bidi w:val="0"/>
        <w:adjustRightInd/>
        <w:snapToGrid/>
        <w:ind w:leftChars="0"/>
        <w:textAlignment w:val="auto"/>
        <w:outlineLvl w:val="0"/>
        <w:rPr>
          <w:rFonts w:hint="eastAsia" w:ascii="黑体" w:hAnsi="Times New Roman" w:eastAsia="黑体" w:cs="Times New Roman"/>
          <w:kern w:val="2"/>
          <w:sz w:val="32"/>
          <w:szCs w:val="32"/>
          <w:lang w:val="en-US" w:eastAsia="zh-CN" w:bidi="ar-SA"/>
        </w:rPr>
      </w:pPr>
      <w:r>
        <w:rPr>
          <w:rFonts w:hint="eastAsia" w:ascii="黑体" w:hAnsi="Times New Roman" w:eastAsia="黑体" w:cs="Times New Roman"/>
          <w:kern w:val="2"/>
          <w:sz w:val="32"/>
          <w:szCs w:val="32"/>
          <w:lang w:val="en-US" w:eastAsia="zh-CN" w:bidi="ar-SA"/>
        </w:rPr>
        <w:t>六、重大意见分歧的处理依据和结果</w:t>
      </w:r>
    </w:p>
    <w:p>
      <w:pPr>
        <w:numPr>
          <w:ilvl w:val="0"/>
          <w:numId w:val="0"/>
        </w:numPr>
        <w:ind w:firstLine="640" w:firstLineChars="200"/>
        <w:rPr>
          <w:rFonts w:hint="eastAsia" w:ascii="仿宋_GB2312" w:eastAsia="仿宋_GB2312"/>
          <w:b/>
          <w:bCs/>
          <w:sz w:val="28"/>
          <w:szCs w:val="28"/>
          <w:lang w:val="en-US" w:eastAsia="zh-CN"/>
        </w:rPr>
      </w:pPr>
      <w:r>
        <w:rPr>
          <w:rFonts w:hint="eastAsia" w:ascii="仿宋" w:hAnsi="仿宋" w:eastAsia="仿宋"/>
          <w:kern w:val="2"/>
          <w:sz w:val="32"/>
          <w:szCs w:val="32"/>
        </w:rPr>
        <w:t>本标准在制定过程中通过向中国科学院西北高原生物研究所、青海民族大学、</w:t>
      </w:r>
      <w:r>
        <w:rPr>
          <w:rFonts w:hint="eastAsia" w:ascii="仿宋" w:hAnsi="仿宋" w:eastAsia="仿宋"/>
          <w:kern w:val="2"/>
          <w:sz w:val="32"/>
          <w:szCs w:val="32"/>
          <w:lang w:eastAsia="zh-CN"/>
        </w:rPr>
        <w:t>青海师范</w:t>
      </w:r>
      <w:r>
        <w:rPr>
          <w:rFonts w:hint="eastAsia" w:ascii="仿宋" w:hAnsi="仿宋" w:eastAsia="仿宋"/>
          <w:kern w:val="2"/>
          <w:sz w:val="32"/>
          <w:szCs w:val="32"/>
        </w:rPr>
        <w:t>大学、</w:t>
      </w:r>
      <w:r>
        <w:rPr>
          <w:rFonts w:hint="eastAsia" w:ascii="仿宋" w:hAnsi="仿宋" w:eastAsia="仿宋"/>
          <w:kern w:val="2"/>
          <w:sz w:val="32"/>
          <w:szCs w:val="32"/>
          <w:lang w:eastAsia="zh-CN"/>
        </w:rPr>
        <w:t>青海省农业技术推广总站，青海大学农牧学院等</w:t>
      </w:r>
      <w:r>
        <w:rPr>
          <w:rFonts w:hint="eastAsia" w:ascii="仿宋" w:hAnsi="仿宋" w:eastAsia="仿宋"/>
          <w:kern w:val="2"/>
          <w:sz w:val="32"/>
          <w:szCs w:val="32"/>
        </w:rPr>
        <w:t>5家</w:t>
      </w:r>
      <w:r>
        <w:rPr>
          <w:rFonts w:hint="eastAsia" w:ascii="仿宋" w:hAnsi="仿宋" w:eastAsia="仿宋"/>
          <w:kern w:val="2"/>
          <w:sz w:val="32"/>
          <w:szCs w:val="32"/>
          <w:lang w:eastAsia="zh-CN"/>
        </w:rPr>
        <w:t>单位及</w:t>
      </w:r>
      <w:r>
        <w:rPr>
          <w:rFonts w:hint="eastAsia" w:ascii="仿宋" w:hAnsi="仿宋" w:eastAsia="仿宋"/>
          <w:kern w:val="2"/>
          <w:sz w:val="32"/>
          <w:szCs w:val="32"/>
        </w:rPr>
        <w:t>专家征求了意见</w:t>
      </w:r>
      <w:r>
        <w:rPr>
          <w:rFonts w:hint="eastAsia" w:ascii="仿宋" w:hAnsi="仿宋" w:eastAsia="仿宋"/>
          <w:kern w:val="2"/>
          <w:sz w:val="32"/>
          <w:szCs w:val="32"/>
          <w:lang w:eastAsia="zh-CN"/>
        </w:rPr>
        <w:t>。并根据专家意见做了修改，</w:t>
      </w:r>
      <w:r>
        <w:rPr>
          <w:rFonts w:hint="eastAsia" w:ascii="仿宋" w:hAnsi="仿宋" w:eastAsia="仿宋"/>
          <w:kern w:val="2"/>
          <w:sz w:val="32"/>
          <w:szCs w:val="32"/>
        </w:rPr>
        <w:t>详见下表。</w:t>
      </w:r>
    </w:p>
    <w:tbl>
      <w:tblPr>
        <w:tblStyle w:val="4"/>
        <w:tblW w:w="84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2"/>
        <w:gridCol w:w="1182"/>
        <w:gridCol w:w="3207"/>
        <w:gridCol w:w="2032"/>
        <w:gridCol w:w="13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592" w:type="dxa"/>
            <w:noWrap w:val="0"/>
            <w:vAlign w:val="center"/>
          </w:tcPr>
          <w:p>
            <w:pPr>
              <w:jc w:val="center"/>
              <w:rPr>
                <w:rFonts w:hint="eastAsia" w:ascii="仿宋" w:hAnsi="仿宋" w:eastAsia="仿宋"/>
                <w:sz w:val="24"/>
                <w:lang w:val="en-US" w:eastAsia="zh-CN"/>
              </w:rPr>
            </w:pPr>
            <w:r>
              <w:rPr>
                <w:rFonts w:hint="eastAsia" w:ascii="仿宋" w:hAnsi="仿宋" w:eastAsia="仿宋"/>
                <w:sz w:val="24"/>
                <w:lang w:val="en-US" w:eastAsia="zh-CN"/>
              </w:rPr>
              <w:t>序号</w:t>
            </w:r>
          </w:p>
        </w:tc>
        <w:tc>
          <w:tcPr>
            <w:tcW w:w="1182" w:type="dxa"/>
            <w:noWrap w:val="0"/>
            <w:vAlign w:val="center"/>
          </w:tcPr>
          <w:p>
            <w:pPr>
              <w:jc w:val="center"/>
              <w:rPr>
                <w:rFonts w:hint="eastAsia" w:ascii="仿宋" w:hAnsi="仿宋" w:eastAsia="仿宋"/>
                <w:sz w:val="24"/>
                <w:lang w:val="en-US" w:eastAsia="zh-CN"/>
              </w:rPr>
            </w:pPr>
            <w:r>
              <w:rPr>
                <w:rFonts w:hint="eastAsia" w:ascii="仿宋" w:hAnsi="仿宋" w:eastAsia="仿宋"/>
                <w:sz w:val="24"/>
                <w:lang w:val="en-US" w:eastAsia="zh-CN"/>
              </w:rPr>
              <w:t>标准条款</w:t>
            </w:r>
          </w:p>
        </w:tc>
        <w:tc>
          <w:tcPr>
            <w:tcW w:w="3207" w:type="dxa"/>
            <w:noWrap w:val="0"/>
            <w:vAlign w:val="center"/>
          </w:tcPr>
          <w:p>
            <w:pPr>
              <w:ind w:firstLine="960" w:firstLineChars="400"/>
              <w:jc w:val="center"/>
              <w:rPr>
                <w:rFonts w:hint="eastAsia" w:ascii="仿宋" w:hAnsi="仿宋" w:eastAsia="仿宋"/>
                <w:sz w:val="24"/>
                <w:lang w:val="en-US" w:eastAsia="zh-CN"/>
              </w:rPr>
            </w:pPr>
            <w:r>
              <w:rPr>
                <w:rFonts w:hint="eastAsia" w:ascii="仿宋" w:hAnsi="仿宋" w:eastAsia="仿宋"/>
                <w:sz w:val="24"/>
                <w:lang w:val="en-US" w:eastAsia="zh-CN"/>
              </w:rPr>
              <w:t>意见内容</w:t>
            </w:r>
          </w:p>
        </w:tc>
        <w:tc>
          <w:tcPr>
            <w:tcW w:w="2032" w:type="dxa"/>
            <w:noWrap w:val="0"/>
            <w:vAlign w:val="center"/>
          </w:tcPr>
          <w:p>
            <w:pPr>
              <w:ind w:firstLine="480" w:firstLineChars="200"/>
              <w:jc w:val="center"/>
              <w:rPr>
                <w:rFonts w:hint="eastAsia" w:ascii="仿宋" w:hAnsi="仿宋" w:eastAsia="仿宋"/>
                <w:sz w:val="24"/>
                <w:lang w:val="en-US" w:eastAsia="zh-CN"/>
              </w:rPr>
            </w:pPr>
            <w:r>
              <w:rPr>
                <w:rFonts w:hint="eastAsia" w:ascii="仿宋" w:hAnsi="仿宋" w:eastAsia="仿宋"/>
                <w:sz w:val="24"/>
                <w:lang w:val="en-US" w:eastAsia="zh-CN"/>
              </w:rPr>
              <w:t>提出单位</w:t>
            </w:r>
          </w:p>
        </w:tc>
        <w:tc>
          <w:tcPr>
            <w:tcW w:w="1391" w:type="dxa"/>
            <w:noWrap w:val="0"/>
            <w:vAlign w:val="center"/>
          </w:tcPr>
          <w:p>
            <w:pPr>
              <w:jc w:val="center"/>
              <w:rPr>
                <w:rFonts w:hint="eastAsia" w:ascii="仿宋" w:hAnsi="仿宋" w:eastAsia="仿宋"/>
                <w:sz w:val="24"/>
                <w:lang w:val="en-US" w:eastAsia="zh-CN"/>
              </w:rPr>
            </w:pPr>
            <w:r>
              <w:rPr>
                <w:rFonts w:hint="eastAsia" w:ascii="仿宋" w:hAnsi="仿宋" w:eastAsia="仿宋"/>
                <w:sz w:val="24"/>
                <w:lang w:val="en-US" w:eastAsia="zh-CN"/>
              </w:rPr>
              <w:t>处理结果及理由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592" w:type="dxa"/>
            <w:noWrap w:val="0"/>
            <w:vAlign w:val="center"/>
          </w:tcPr>
          <w:p>
            <w:pPr>
              <w:jc w:val="center"/>
              <w:rPr>
                <w:rFonts w:hint="default" w:ascii="仿宋" w:hAnsi="仿宋" w:eastAsia="仿宋"/>
                <w:sz w:val="24"/>
                <w:lang w:val="en-US" w:eastAsia="zh-CN"/>
              </w:rPr>
            </w:pPr>
            <w:r>
              <w:rPr>
                <w:rFonts w:hint="eastAsia" w:ascii="仿宋" w:hAnsi="仿宋" w:eastAsia="仿宋"/>
                <w:sz w:val="24"/>
                <w:lang w:val="en-US" w:eastAsia="zh-CN"/>
              </w:rPr>
              <w:t>1</w:t>
            </w:r>
          </w:p>
        </w:tc>
        <w:tc>
          <w:tcPr>
            <w:tcW w:w="1182" w:type="dxa"/>
            <w:noWrap w:val="0"/>
            <w:vAlign w:val="center"/>
          </w:tcPr>
          <w:p>
            <w:pPr>
              <w:ind w:firstLine="240" w:firstLineChars="100"/>
              <w:jc w:val="center"/>
              <w:rPr>
                <w:rFonts w:hint="eastAsia" w:ascii="仿宋" w:hAnsi="仿宋" w:eastAsia="仿宋" w:cs="Times New Roman"/>
                <w:kern w:val="2"/>
                <w:sz w:val="24"/>
                <w:szCs w:val="22"/>
                <w:lang w:val="en-US" w:eastAsia="zh-CN" w:bidi="ar-SA"/>
              </w:rPr>
            </w:pPr>
            <w:r>
              <w:rPr>
                <w:rFonts w:hint="eastAsia" w:ascii="仿宋" w:hAnsi="仿宋" w:eastAsia="仿宋"/>
                <w:sz w:val="24"/>
                <w:lang w:val="en-US" w:eastAsia="zh-CN"/>
              </w:rPr>
              <w:t>前言</w:t>
            </w:r>
          </w:p>
        </w:tc>
        <w:tc>
          <w:tcPr>
            <w:tcW w:w="3207" w:type="dxa"/>
            <w:noWrap w:val="0"/>
            <w:vAlign w:val="center"/>
          </w:tcPr>
          <w:p>
            <w:pPr>
              <w:ind w:firstLine="480" w:firstLineChars="200"/>
              <w:jc w:val="center"/>
              <w:rPr>
                <w:rFonts w:hint="eastAsia" w:ascii="仿宋" w:hAnsi="仿宋" w:eastAsia="仿宋" w:cs="Times New Roman"/>
                <w:kern w:val="2"/>
                <w:sz w:val="24"/>
                <w:szCs w:val="22"/>
                <w:lang w:val="en-US" w:eastAsia="zh-CN" w:bidi="ar-SA"/>
              </w:rPr>
            </w:pPr>
            <w:r>
              <w:rPr>
                <w:rFonts w:hint="eastAsia" w:ascii="仿宋" w:hAnsi="仿宋" w:eastAsia="仿宋"/>
                <w:sz w:val="24"/>
                <w:lang w:val="en-US" w:eastAsia="zh-CN"/>
              </w:rPr>
              <w:t>缺少文件起草编制所依据的标准</w:t>
            </w:r>
          </w:p>
        </w:tc>
        <w:tc>
          <w:tcPr>
            <w:tcW w:w="2032" w:type="dxa"/>
            <w:noWrap w:val="0"/>
            <w:vAlign w:val="center"/>
          </w:tcPr>
          <w:p>
            <w:pPr>
              <w:jc w:val="center"/>
              <w:rPr>
                <w:rFonts w:hint="eastAsia" w:ascii="仿宋" w:hAnsi="仿宋" w:eastAsia="仿宋" w:cs="Times New Roman"/>
                <w:kern w:val="2"/>
                <w:sz w:val="24"/>
                <w:szCs w:val="22"/>
                <w:lang w:val="en-US" w:eastAsia="zh-CN" w:bidi="ar-SA"/>
              </w:rPr>
            </w:pPr>
            <w:r>
              <w:rPr>
                <w:rFonts w:hint="eastAsia" w:ascii="仿宋" w:hAnsi="仿宋" w:eastAsia="仿宋" w:cs="Times New Roman"/>
                <w:kern w:val="2"/>
                <w:sz w:val="24"/>
                <w:szCs w:val="22"/>
                <w:lang w:val="en-US" w:eastAsia="zh-CN" w:bidi="ar-SA"/>
              </w:rPr>
              <w:t>青海民族大学</w:t>
            </w:r>
          </w:p>
        </w:tc>
        <w:tc>
          <w:tcPr>
            <w:tcW w:w="1391" w:type="dxa"/>
            <w:noWrap w:val="0"/>
            <w:vAlign w:val="center"/>
          </w:tcPr>
          <w:p>
            <w:pPr>
              <w:jc w:val="center"/>
              <w:rPr>
                <w:rFonts w:hint="eastAsia" w:ascii="仿宋" w:hAnsi="仿宋" w:eastAsia="仿宋" w:cs="Times New Roman"/>
                <w:kern w:val="2"/>
                <w:sz w:val="24"/>
                <w:szCs w:val="22"/>
                <w:lang w:val="en-US" w:eastAsia="zh-CN" w:bidi="ar-SA"/>
              </w:rPr>
            </w:pPr>
            <w:r>
              <w:rPr>
                <w:rFonts w:hint="eastAsia" w:ascii="仿宋" w:hAnsi="仿宋" w:eastAsia="仿宋"/>
                <w:sz w:val="24"/>
                <w:lang w:val="en-US" w:eastAsia="zh-CN"/>
              </w:rPr>
              <w:t>采纳并修改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3" w:hRule="atLeast"/>
          <w:jc w:val="center"/>
        </w:trPr>
        <w:tc>
          <w:tcPr>
            <w:tcW w:w="592" w:type="dxa"/>
            <w:noWrap w:val="0"/>
            <w:vAlign w:val="center"/>
          </w:tcPr>
          <w:p>
            <w:pPr>
              <w:jc w:val="center"/>
              <w:rPr>
                <w:rFonts w:hint="default" w:ascii="仿宋" w:hAnsi="仿宋" w:eastAsia="仿宋"/>
                <w:sz w:val="24"/>
                <w:lang w:val="en-US" w:eastAsia="zh-CN"/>
              </w:rPr>
            </w:pPr>
            <w:r>
              <w:rPr>
                <w:rFonts w:hint="eastAsia" w:ascii="仿宋" w:hAnsi="仿宋" w:eastAsia="仿宋"/>
                <w:sz w:val="24"/>
                <w:lang w:val="en-US" w:eastAsia="zh-CN"/>
              </w:rPr>
              <w:t>2</w:t>
            </w:r>
          </w:p>
        </w:tc>
        <w:tc>
          <w:tcPr>
            <w:tcW w:w="1182" w:type="dxa"/>
            <w:noWrap w:val="0"/>
            <w:vAlign w:val="center"/>
          </w:tcPr>
          <w:p>
            <w:pPr>
              <w:jc w:val="center"/>
              <w:rPr>
                <w:rFonts w:hint="eastAsia" w:ascii="仿宋" w:hAnsi="仿宋" w:eastAsia="仿宋"/>
                <w:sz w:val="24"/>
                <w:lang w:val="en-US" w:eastAsia="zh-CN"/>
              </w:rPr>
            </w:pPr>
            <w:r>
              <w:rPr>
                <w:rFonts w:hint="eastAsia" w:ascii="仿宋" w:hAnsi="仿宋" w:eastAsia="仿宋"/>
                <w:sz w:val="24"/>
                <w:lang w:val="en-US" w:eastAsia="zh-CN"/>
              </w:rPr>
              <w:t>1 范围</w:t>
            </w:r>
          </w:p>
        </w:tc>
        <w:tc>
          <w:tcPr>
            <w:tcW w:w="3207" w:type="dxa"/>
            <w:noWrap w:val="0"/>
            <w:vAlign w:val="center"/>
          </w:tcPr>
          <w:p>
            <w:pPr>
              <w:ind w:firstLine="480" w:firstLineChars="200"/>
              <w:jc w:val="center"/>
              <w:rPr>
                <w:rFonts w:hint="eastAsia" w:ascii="仿宋" w:hAnsi="仿宋" w:eastAsia="仿宋"/>
                <w:sz w:val="24"/>
                <w:lang w:val="en-US" w:eastAsia="zh-CN"/>
              </w:rPr>
            </w:pPr>
            <w:r>
              <w:rPr>
                <w:rFonts w:hint="eastAsia" w:ascii="仿宋" w:hAnsi="仿宋" w:eastAsia="仿宋"/>
                <w:sz w:val="24"/>
                <w:lang w:val="en-US" w:eastAsia="zh-CN"/>
              </w:rPr>
              <w:t>“本标准适用于青海省人工繁育的当归种苗的生产和经营”把人工繁育去掉</w:t>
            </w:r>
          </w:p>
          <w:p>
            <w:pPr>
              <w:ind w:firstLine="480" w:firstLineChars="200"/>
              <w:jc w:val="center"/>
              <w:rPr>
                <w:rFonts w:hint="eastAsia" w:ascii="仿宋" w:hAnsi="仿宋" w:eastAsia="仿宋"/>
                <w:sz w:val="24"/>
                <w:lang w:val="en-US" w:eastAsia="zh-CN"/>
              </w:rPr>
            </w:pPr>
            <w:r>
              <w:rPr>
                <w:rFonts w:hint="eastAsia" w:ascii="仿宋" w:hAnsi="仿宋" w:eastAsia="仿宋"/>
                <w:sz w:val="24"/>
                <w:lang w:val="en-US" w:eastAsia="zh-CN"/>
              </w:rPr>
              <w:t>范围书写格式有误，应修改为规定了……的技术要求、方法等且要与与文章内容完全对应，严格按照GB/T 1.1 的要求格式书写。</w:t>
            </w:r>
          </w:p>
        </w:tc>
        <w:tc>
          <w:tcPr>
            <w:tcW w:w="2032" w:type="dxa"/>
            <w:noWrap w:val="0"/>
            <w:vAlign w:val="center"/>
          </w:tcPr>
          <w:p>
            <w:pPr>
              <w:jc w:val="center"/>
              <w:rPr>
                <w:rFonts w:hint="eastAsia" w:ascii="仿宋" w:hAnsi="仿宋" w:eastAsia="仿宋"/>
                <w:sz w:val="24"/>
                <w:lang w:val="en-US" w:eastAsia="zh-CN"/>
              </w:rPr>
            </w:pPr>
            <w:r>
              <w:rPr>
                <w:rFonts w:hint="eastAsia" w:ascii="仿宋" w:hAnsi="仿宋" w:eastAsia="仿宋" w:cs="Times New Roman"/>
                <w:kern w:val="2"/>
                <w:sz w:val="24"/>
                <w:szCs w:val="22"/>
                <w:lang w:val="en-US" w:eastAsia="zh-CN" w:bidi="ar-SA"/>
              </w:rPr>
              <w:t>青海民族大学</w:t>
            </w:r>
          </w:p>
        </w:tc>
        <w:tc>
          <w:tcPr>
            <w:tcW w:w="1391" w:type="dxa"/>
            <w:noWrap w:val="0"/>
            <w:vAlign w:val="center"/>
          </w:tcPr>
          <w:p>
            <w:pPr>
              <w:jc w:val="center"/>
              <w:rPr>
                <w:rFonts w:hint="eastAsia" w:ascii="仿宋" w:hAnsi="仿宋" w:eastAsia="仿宋"/>
                <w:sz w:val="24"/>
                <w:lang w:val="en-US" w:eastAsia="zh-CN"/>
              </w:rPr>
            </w:pPr>
            <w:r>
              <w:rPr>
                <w:rFonts w:hint="eastAsia" w:ascii="仿宋" w:hAnsi="仿宋" w:eastAsia="仿宋"/>
                <w:sz w:val="24"/>
                <w:lang w:val="en-US" w:eastAsia="zh-CN"/>
              </w:rPr>
              <w:t>采纳并修改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jc w:val="center"/>
        </w:trPr>
        <w:tc>
          <w:tcPr>
            <w:tcW w:w="592" w:type="dxa"/>
            <w:noWrap w:val="0"/>
            <w:vAlign w:val="center"/>
          </w:tcPr>
          <w:p>
            <w:pPr>
              <w:jc w:val="center"/>
              <w:rPr>
                <w:rFonts w:hint="eastAsia" w:ascii="仿宋" w:hAnsi="仿宋" w:eastAsia="仿宋"/>
                <w:sz w:val="24"/>
                <w:lang w:val="en-US" w:eastAsia="zh-CN"/>
              </w:rPr>
            </w:pPr>
            <w:r>
              <w:rPr>
                <w:rFonts w:hint="eastAsia" w:ascii="仿宋" w:hAnsi="仿宋" w:eastAsia="仿宋"/>
                <w:sz w:val="24"/>
                <w:lang w:val="en-US" w:eastAsia="zh-CN"/>
              </w:rPr>
              <w:t>3</w:t>
            </w:r>
          </w:p>
        </w:tc>
        <w:tc>
          <w:tcPr>
            <w:tcW w:w="1182" w:type="dxa"/>
            <w:noWrap w:val="0"/>
            <w:vAlign w:val="center"/>
          </w:tcPr>
          <w:p>
            <w:pPr>
              <w:jc w:val="center"/>
              <w:rPr>
                <w:rFonts w:hint="default" w:ascii="仿宋" w:hAnsi="仿宋" w:eastAsia="仿宋"/>
                <w:sz w:val="24"/>
                <w:lang w:val="en-US" w:eastAsia="zh-CN"/>
              </w:rPr>
            </w:pPr>
            <w:r>
              <w:rPr>
                <w:rFonts w:hint="eastAsia" w:ascii="仿宋" w:hAnsi="仿宋" w:eastAsia="仿宋"/>
                <w:sz w:val="24"/>
                <w:lang w:val="en-US" w:eastAsia="zh-CN"/>
              </w:rPr>
              <w:t>3术语和定义</w:t>
            </w:r>
          </w:p>
        </w:tc>
        <w:tc>
          <w:tcPr>
            <w:tcW w:w="3207" w:type="dxa"/>
            <w:noWrap w:val="0"/>
            <w:vAlign w:val="center"/>
          </w:tcPr>
          <w:p>
            <w:pPr>
              <w:ind w:firstLine="480" w:firstLineChars="200"/>
              <w:jc w:val="center"/>
              <w:rPr>
                <w:rFonts w:hint="eastAsia" w:ascii="仿宋" w:hAnsi="仿宋" w:eastAsia="仿宋"/>
                <w:sz w:val="24"/>
                <w:lang w:val="en-US" w:eastAsia="zh-CN"/>
              </w:rPr>
            </w:pPr>
            <w:r>
              <w:rPr>
                <w:rFonts w:hint="eastAsia" w:ascii="仿宋" w:hAnsi="仿宋" w:eastAsia="仿宋"/>
                <w:sz w:val="24"/>
                <w:lang w:val="en-US" w:eastAsia="zh-CN"/>
              </w:rPr>
              <w:t>苗长的定义描述不清楚</w:t>
            </w:r>
          </w:p>
          <w:p>
            <w:pPr>
              <w:ind w:firstLine="480" w:firstLineChars="200"/>
              <w:jc w:val="center"/>
              <w:rPr>
                <w:rFonts w:hint="eastAsia" w:ascii="仿宋" w:hAnsi="仿宋" w:eastAsia="仿宋"/>
                <w:sz w:val="24"/>
                <w:lang w:val="en-US" w:eastAsia="zh-CN"/>
              </w:rPr>
            </w:pPr>
            <w:r>
              <w:rPr>
                <w:rFonts w:hint="eastAsia" w:ascii="仿宋" w:hAnsi="仿宋" w:eastAsia="仿宋"/>
                <w:sz w:val="24"/>
                <w:lang w:val="en-US" w:eastAsia="zh-CN"/>
              </w:rPr>
              <w:t>3.4和3.6 均为苗径的定义，出现重复，去掉一个</w:t>
            </w:r>
          </w:p>
        </w:tc>
        <w:tc>
          <w:tcPr>
            <w:tcW w:w="2032" w:type="dxa"/>
            <w:noWrap w:val="0"/>
            <w:vAlign w:val="center"/>
          </w:tcPr>
          <w:p>
            <w:pPr>
              <w:jc w:val="center"/>
              <w:rPr>
                <w:rFonts w:hint="eastAsia" w:ascii="仿宋" w:hAnsi="仿宋" w:eastAsia="仿宋"/>
                <w:sz w:val="24"/>
                <w:lang w:val="en-US" w:eastAsia="zh-CN"/>
              </w:rPr>
            </w:pPr>
            <w:r>
              <w:rPr>
                <w:rFonts w:hint="eastAsia" w:ascii="仿宋" w:hAnsi="仿宋" w:eastAsia="仿宋"/>
                <w:sz w:val="24"/>
                <w:lang w:val="en-US" w:eastAsia="zh-CN"/>
              </w:rPr>
              <w:t>青海省农业技术推广总站</w:t>
            </w:r>
          </w:p>
        </w:tc>
        <w:tc>
          <w:tcPr>
            <w:tcW w:w="1391" w:type="dxa"/>
            <w:noWrap w:val="0"/>
            <w:vAlign w:val="center"/>
          </w:tcPr>
          <w:p>
            <w:pPr>
              <w:jc w:val="center"/>
              <w:rPr>
                <w:rFonts w:hint="eastAsia" w:ascii="仿宋" w:hAnsi="仿宋" w:eastAsia="仿宋"/>
                <w:sz w:val="24"/>
                <w:lang w:val="en-US" w:eastAsia="zh-CN"/>
              </w:rPr>
            </w:pPr>
            <w:r>
              <w:rPr>
                <w:rFonts w:hint="eastAsia" w:ascii="仿宋" w:hAnsi="仿宋" w:eastAsia="仿宋"/>
                <w:sz w:val="24"/>
                <w:lang w:val="en-US" w:eastAsia="zh-CN"/>
              </w:rPr>
              <w:t>采纳并修改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1" w:hRule="atLeast"/>
          <w:jc w:val="center"/>
        </w:trPr>
        <w:tc>
          <w:tcPr>
            <w:tcW w:w="592" w:type="dxa"/>
            <w:noWrap w:val="0"/>
            <w:vAlign w:val="center"/>
          </w:tcPr>
          <w:p>
            <w:pPr>
              <w:jc w:val="center"/>
              <w:rPr>
                <w:rFonts w:hint="default" w:ascii="仿宋" w:hAnsi="仿宋" w:eastAsia="仿宋"/>
                <w:sz w:val="24"/>
                <w:lang w:val="en-US" w:eastAsia="zh-CN"/>
              </w:rPr>
            </w:pPr>
            <w:r>
              <w:rPr>
                <w:rFonts w:hint="eastAsia" w:ascii="仿宋" w:hAnsi="仿宋" w:eastAsia="仿宋"/>
                <w:sz w:val="24"/>
                <w:lang w:val="en-US" w:eastAsia="zh-CN"/>
              </w:rPr>
              <w:t>4</w:t>
            </w:r>
          </w:p>
        </w:tc>
        <w:tc>
          <w:tcPr>
            <w:tcW w:w="1182" w:type="dxa"/>
            <w:noWrap w:val="0"/>
            <w:vAlign w:val="center"/>
          </w:tcPr>
          <w:p>
            <w:pPr>
              <w:ind w:left="240" w:hanging="240" w:hangingChars="100"/>
              <w:jc w:val="center"/>
              <w:rPr>
                <w:rFonts w:hint="eastAsia" w:ascii="仿宋" w:hAnsi="仿宋" w:eastAsia="仿宋" w:cs="Times New Roman"/>
                <w:kern w:val="2"/>
                <w:sz w:val="24"/>
                <w:szCs w:val="22"/>
                <w:lang w:val="en-US" w:eastAsia="zh-CN" w:bidi="ar-SA"/>
              </w:rPr>
            </w:pPr>
            <w:r>
              <w:rPr>
                <w:rFonts w:hint="eastAsia" w:ascii="仿宋" w:hAnsi="仿宋" w:eastAsia="仿宋"/>
                <w:sz w:val="24"/>
                <w:lang w:val="en-US" w:eastAsia="zh-CN"/>
              </w:rPr>
              <w:t>4 分级参数</w:t>
            </w:r>
          </w:p>
        </w:tc>
        <w:tc>
          <w:tcPr>
            <w:tcW w:w="3207" w:type="dxa"/>
            <w:noWrap w:val="0"/>
            <w:vAlign w:val="center"/>
          </w:tcPr>
          <w:p>
            <w:pPr>
              <w:ind w:firstLine="480" w:firstLineChars="200"/>
              <w:jc w:val="center"/>
              <w:rPr>
                <w:rFonts w:hint="eastAsia" w:ascii="仿宋" w:hAnsi="仿宋" w:eastAsia="仿宋" w:cs="Times New Roman"/>
                <w:kern w:val="2"/>
                <w:sz w:val="24"/>
                <w:szCs w:val="22"/>
                <w:lang w:val="en-US" w:eastAsia="zh-CN" w:bidi="ar-SA"/>
              </w:rPr>
            </w:pPr>
            <w:r>
              <w:rPr>
                <w:rFonts w:hint="eastAsia" w:ascii="仿宋" w:hAnsi="仿宋" w:eastAsia="仿宋"/>
                <w:sz w:val="24"/>
                <w:lang w:val="en-US" w:eastAsia="zh-CN"/>
              </w:rPr>
              <w:t>苗龄作为种苗等级标准的依据不合理，种苗分级时应该为同批次种苗，若苗龄不同则不是同批次种苗。</w:t>
            </w:r>
          </w:p>
        </w:tc>
        <w:tc>
          <w:tcPr>
            <w:tcW w:w="2032" w:type="dxa"/>
            <w:noWrap w:val="0"/>
            <w:vAlign w:val="center"/>
          </w:tcPr>
          <w:p>
            <w:pPr>
              <w:ind w:firstLine="240" w:firstLineChars="100"/>
              <w:jc w:val="center"/>
              <w:rPr>
                <w:rFonts w:hint="eastAsia" w:ascii="仿宋" w:hAnsi="仿宋" w:eastAsia="仿宋" w:cs="Times New Roman"/>
                <w:kern w:val="2"/>
                <w:sz w:val="24"/>
                <w:szCs w:val="22"/>
                <w:lang w:val="en-US" w:eastAsia="zh-CN" w:bidi="ar-SA"/>
              </w:rPr>
            </w:pPr>
            <w:r>
              <w:rPr>
                <w:rFonts w:hint="eastAsia" w:ascii="仿宋" w:hAnsi="仿宋" w:eastAsia="仿宋" w:cs="Times New Roman"/>
                <w:kern w:val="2"/>
                <w:sz w:val="24"/>
                <w:szCs w:val="22"/>
                <w:lang w:val="en-US" w:eastAsia="zh-CN" w:bidi="ar-SA"/>
              </w:rPr>
              <w:t>青海师范大学</w:t>
            </w:r>
          </w:p>
        </w:tc>
        <w:tc>
          <w:tcPr>
            <w:tcW w:w="1391" w:type="dxa"/>
            <w:noWrap w:val="0"/>
            <w:vAlign w:val="center"/>
          </w:tcPr>
          <w:p>
            <w:pPr>
              <w:jc w:val="center"/>
              <w:rPr>
                <w:rFonts w:hint="eastAsia" w:ascii="仿宋" w:hAnsi="仿宋" w:eastAsia="仿宋" w:cs="Times New Roman"/>
                <w:kern w:val="2"/>
                <w:sz w:val="24"/>
                <w:szCs w:val="22"/>
                <w:lang w:val="en-US" w:eastAsia="zh-CN" w:bidi="ar-SA"/>
              </w:rPr>
            </w:pPr>
            <w:r>
              <w:rPr>
                <w:rFonts w:hint="eastAsia" w:ascii="仿宋" w:hAnsi="仿宋" w:eastAsia="仿宋"/>
                <w:sz w:val="24"/>
                <w:lang w:val="en-US" w:eastAsia="zh-CN"/>
              </w:rPr>
              <w:t>采纳并修改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9" w:hRule="atLeast"/>
          <w:jc w:val="center"/>
        </w:trPr>
        <w:tc>
          <w:tcPr>
            <w:tcW w:w="592" w:type="dxa"/>
            <w:noWrap w:val="0"/>
            <w:vAlign w:val="center"/>
          </w:tcPr>
          <w:p>
            <w:pPr>
              <w:jc w:val="center"/>
              <w:rPr>
                <w:rFonts w:hint="eastAsia" w:ascii="仿宋" w:hAnsi="仿宋" w:eastAsia="仿宋"/>
                <w:sz w:val="24"/>
                <w:lang w:val="en-US" w:eastAsia="zh-CN"/>
              </w:rPr>
            </w:pPr>
            <w:r>
              <w:rPr>
                <w:rFonts w:hint="eastAsia" w:ascii="仿宋" w:hAnsi="仿宋" w:eastAsia="仿宋"/>
                <w:sz w:val="24"/>
                <w:lang w:val="en-US" w:eastAsia="zh-CN"/>
              </w:rPr>
              <w:t>5</w:t>
            </w:r>
          </w:p>
        </w:tc>
        <w:tc>
          <w:tcPr>
            <w:tcW w:w="1182" w:type="dxa"/>
            <w:noWrap w:val="0"/>
            <w:vAlign w:val="center"/>
          </w:tcPr>
          <w:p>
            <w:pPr>
              <w:jc w:val="center"/>
              <w:rPr>
                <w:rFonts w:hint="default" w:ascii="仿宋" w:hAnsi="仿宋" w:eastAsia="仿宋"/>
                <w:sz w:val="24"/>
                <w:lang w:val="en-US" w:eastAsia="zh-CN"/>
              </w:rPr>
            </w:pPr>
            <w:r>
              <w:rPr>
                <w:rFonts w:hint="eastAsia" w:ascii="仿宋" w:hAnsi="仿宋" w:eastAsia="仿宋"/>
                <w:sz w:val="24"/>
                <w:lang w:val="en-US" w:eastAsia="zh-CN"/>
              </w:rPr>
              <w:t>6抽检规则</w:t>
            </w:r>
          </w:p>
        </w:tc>
        <w:tc>
          <w:tcPr>
            <w:tcW w:w="3207" w:type="dxa"/>
            <w:noWrap w:val="0"/>
            <w:vAlign w:val="center"/>
          </w:tcPr>
          <w:p>
            <w:pPr>
              <w:ind w:firstLine="480" w:firstLineChars="200"/>
              <w:jc w:val="center"/>
              <w:rPr>
                <w:rFonts w:hint="default" w:ascii="仿宋" w:hAnsi="仿宋" w:eastAsia="仿宋"/>
                <w:sz w:val="24"/>
                <w:lang w:val="en-US" w:eastAsia="zh-CN"/>
              </w:rPr>
            </w:pPr>
            <w:r>
              <w:rPr>
                <w:rFonts w:hint="eastAsia" w:ascii="仿宋" w:hAnsi="仿宋" w:eastAsia="仿宋"/>
                <w:sz w:val="24"/>
                <w:lang w:val="en-US" w:eastAsia="zh-CN"/>
              </w:rPr>
              <w:t>6.2抽样数量样点分布方式实际操作性不强，大面积可按面积分取样点。</w:t>
            </w:r>
          </w:p>
        </w:tc>
        <w:tc>
          <w:tcPr>
            <w:tcW w:w="2032" w:type="dxa"/>
            <w:noWrap w:val="0"/>
            <w:vAlign w:val="center"/>
          </w:tcPr>
          <w:p>
            <w:pPr>
              <w:jc w:val="center"/>
              <w:rPr>
                <w:rFonts w:hint="eastAsia" w:ascii="仿宋" w:hAnsi="仿宋" w:eastAsia="仿宋"/>
                <w:sz w:val="24"/>
                <w:lang w:val="en-US" w:eastAsia="zh-CN"/>
              </w:rPr>
            </w:pPr>
            <w:r>
              <w:rPr>
                <w:rFonts w:hint="eastAsia" w:ascii="仿宋" w:hAnsi="仿宋" w:eastAsia="仿宋"/>
                <w:sz w:val="24"/>
                <w:lang w:val="en-US" w:eastAsia="zh-CN"/>
              </w:rPr>
              <w:t>青海大学</w:t>
            </w:r>
          </w:p>
        </w:tc>
        <w:tc>
          <w:tcPr>
            <w:tcW w:w="1391" w:type="dxa"/>
            <w:noWrap w:val="0"/>
            <w:vAlign w:val="center"/>
          </w:tcPr>
          <w:p>
            <w:pPr>
              <w:jc w:val="center"/>
              <w:rPr>
                <w:rFonts w:hint="eastAsia" w:ascii="仿宋" w:hAnsi="仿宋" w:eastAsia="仿宋"/>
                <w:sz w:val="24"/>
                <w:lang w:val="en-US" w:eastAsia="zh-CN"/>
              </w:rPr>
            </w:pPr>
            <w:r>
              <w:rPr>
                <w:rFonts w:hint="eastAsia" w:ascii="仿宋" w:hAnsi="仿宋" w:eastAsia="仿宋"/>
                <w:sz w:val="24"/>
                <w:lang w:val="en-US" w:eastAsia="zh-CN"/>
              </w:rPr>
              <w:t>采纳并修改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1" w:hRule="atLeast"/>
          <w:jc w:val="center"/>
        </w:trPr>
        <w:tc>
          <w:tcPr>
            <w:tcW w:w="592" w:type="dxa"/>
            <w:noWrap w:val="0"/>
            <w:vAlign w:val="center"/>
          </w:tcPr>
          <w:p>
            <w:pPr>
              <w:jc w:val="center"/>
              <w:rPr>
                <w:rFonts w:hint="eastAsia" w:ascii="仿宋" w:hAnsi="仿宋" w:eastAsia="仿宋"/>
                <w:sz w:val="24"/>
                <w:lang w:val="en-US" w:eastAsia="zh-CN"/>
              </w:rPr>
            </w:pPr>
            <w:r>
              <w:rPr>
                <w:rFonts w:hint="eastAsia" w:ascii="仿宋" w:hAnsi="仿宋" w:eastAsia="仿宋"/>
                <w:sz w:val="24"/>
                <w:lang w:val="en-US" w:eastAsia="zh-CN"/>
              </w:rPr>
              <w:t>6</w:t>
            </w:r>
          </w:p>
        </w:tc>
        <w:tc>
          <w:tcPr>
            <w:tcW w:w="1182" w:type="dxa"/>
            <w:noWrap w:val="0"/>
            <w:vAlign w:val="center"/>
          </w:tcPr>
          <w:p>
            <w:pPr>
              <w:jc w:val="center"/>
              <w:rPr>
                <w:rFonts w:hint="eastAsia" w:ascii="仿宋" w:hAnsi="仿宋" w:eastAsia="仿宋"/>
                <w:sz w:val="24"/>
                <w:lang w:val="en-US" w:eastAsia="zh-CN"/>
              </w:rPr>
            </w:pPr>
          </w:p>
          <w:p>
            <w:pPr>
              <w:jc w:val="center"/>
              <w:rPr>
                <w:rFonts w:hint="default" w:ascii="仿宋" w:hAnsi="仿宋" w:eastAsia="仿宋"/>
                <w:sz w:val="24"/>
                <w:lang w:val="en-US" w:eastAsia="zh-CN"/>
              </w:rPr>
            </w:pPr>
            <w:r>
              <w:rPr>
                <w:rFonts w:hint="eastAsia" w:ascii="仿宋" w:hAnsi="仿宋" w:eastAsia="仿宋"/>
                <w:sz w:val="24"/>
                <w:lang w:val="en-US" w:eastAsia="zh-CN"/>
              </w:rPr>
              <w:t>7 堆码、包装、运输</w:t>
            </w:r>
          </w:p>
        </w:tc>
        <w:tc>
          <w:tcPr>
            <w:tcW w:w="3207" w:type="dxa"/>
            <w:noWrap w:val="0"/>
            <w:vAlign w:val="center"/>
          </w:tcPr>
          <w:p>
            <w:pPr>
              <w:ind w:firstLine="480" w:firstLineChars="200"/>
              <w:jc w:val="center"/>
              <w:rPr>
                <w:rFonts w:hint="eastAsia" w:ascii="仿宋" w:hAnsi="仿宋" w:eastAsia="仿宋"/>
                <w:sz w:val="24"/>
                <w:lang w:val="en-US" w:eastAsia="zh-CN"/>
              </w:rPr>
            </w:pPr>
            <w:r>
              <w:rPr>
                <w:rFonts w:hint="eastAsia" w:ascii="仿宋" w:hAnsi="仿宋" w:eastAsia="仿宋"/>
                <w:sz w:val="24"/>
                <w:lang w:val="en-US" w:eastAsia="zh-CN"/>
              </w:rPr>
              <w:t>描述太简洁，可引用标准或详细描述</w:t>
            </w:r>
          </w:p>
        </w:tc>
        <w:tc>
          <w:tcPr>
            <w:tcW w:w="2032" w:type="dxa"/>
            <w:noWrap w:val="0"/>
            <w:vAlign w:val="center"/>
          </w:tcPr>
          <w:p>
            <w:pPr>
              <w:jc w:val="center"/>
              <w:rPr>
                <w:rFonts w:hint="eastAsia" w:ascii="仿宋" w:hAnsi="仿宋" w:eastAsia="仿宋"/>
                <w:sz w:val="24"/>
                <w:lang w:val="en-US" w:eastAsia="zh-CN"/>
              </w:rPr>
            </w:pPr>
            <w:r>
              <w:rPr>
                <w:rFonts w:hint="eastAsia" w:ascii="仿宋" w:hAnsi="仿宋" w:eastAsia="仿宋"/>
                <w:sz w:val="24"/>
                <w:lang w:eastAsia="zh-CN"/>
              </w:rPr>
              <w:t>中国科学院西北高原生物研究所</w:t>
            </w:r>
          </w:p>
        </w:tc>
        <w:tc>
          <w:tcPr>
            <w:tcW w:w="1391" w:type="dxa"/>
            <w:noWrap w:val="0"/>
            <w:vAlign w:val="center"/>
          </w:tcPr>
          <w:p>
            <w:pPr>
              <w:jc w:val="center"/>
              <w:rPr>
                <w:rFonts w:hint="eastAsia" w:ascii="仿宋" w:hAnsi="仿宋" w:eastAsia="仿宋"/>
                <w:sz w:val="24"/>
                <w:lang w:val="en-US" w:eastAsia="zh-CN"/>
              </w:rPr>
            </w:pPr>
            <w:r>
              <w:rPr>
                <w:rFonts w:hint="eastAsia" w:ascii="仿宋" w:hAnsi="仿宋" w:eastAsia="仿宋"/>
                <w:sz w:val="24"/>
                <w:lang w:val="en-US" w:eastAsia="zh-CN"/>
              </w:rPr>
              <w:t>采纳并修改</w:t>
            </w:r>
          </w:p>
        </w:tc>
      </w:tr>
    </w:tbl>
    <w:p/>
    <w:p>
      <w:pPr>
        <w:pStyle w:val="11"/>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ind w:leftChars="0"/>
        <w:textAlignment w:val="auto"/>
        <w:outlineLvl w:val="0"/>
        <w:rPr>
          <w:rFonts w:hint="default" w:ascii="黑体" w:hAnsi="Times New Roman" w:eastAsia="黑体" w:cs="Times New Roman"/>
          <w:kern w:val="2"/>
          <w:sz w:val="32"/>
          <w:szCs w:val="32"/>
          <w:lang w:val="en-US" w:eastAsia="zh-CN" w:bidi="ar-SA"/>
        </w:rPr>
      </w:pPr>
      <w:r>
        <w:rPr>
          <w:rFonts w:hint="eastAsia" w:cs="Times New Roman"/>
          <w:kern w:val="2"/>
          <w:sz w:val="32"/>
          <w:szCs w:val="32"/>
          <w:lang w:val="en-US" w:eastAsia="zh-CN" w:bidi="ar-SA"/>
        </w:rPr>
        <w:t>七、</w:t>
      </w:r>
      <w:r>
        <w:rPr>
          <w:rFonts w:hint="eastAsia" w:ascii="黑体" w:hAnsi="Times New Roman" w:eastAsia="黑体" w:cs="Times New Roman"/>
          <w:kern w:val="2"/>
          <w:sz w:val="32"/>
          <w:szCs w:val="32"/>
          <w:lang w:val="en-US" w:eastAsia="zh-CN" w:bidi="ar-SA"/>
        </w:rPr>
        <w:t>采用国际标准和国外先进标准情况</w:t>
      </w:r>
    </w:p>
    <w:p>
      <w:pPr>
        <w:numPr>
          <w:ilvl w:val="0"/>
          <w:numId w:val="0"/>
        </w:numPr>
        <w:ind w:firstLine="640" w:firstLineChars="200"/>
        <w:rPr>
          <w:rFonts w:hint="eastAsia" w:ascii="仿宋" w:hAnsi="仿宋" w:eastAsia="仿宋"/>
          <w:kern w:val="2"/>
          <w:sz w:val="32"/>
          <w:szCs w:val="32"/>
          <w:lang w:val="en-US" w:eastAsia="zh-CN"/>
        </w:rPr>
      </w:pPr>
      <w:r>
        <w:rPr>
          <w:rFonts w:hint="eastAsia" w:ascii="仿宋" w:hAnsi="仿宋" w:eastAsia="仿宋"/>
          <w:kern w:val="2"/>
          <w:sz w:val="32"/>
          <w:szCs w:val="32"/>
          <w:lang w:val="en-US" w:eastAsia="zh-CN"/>
        </w:rPr>
        <w:t>无</w:t>
      </w:r>
    </w:p>
    <w:p>
      <w:pPr>
        <w:numPr>
          <w:ilvl w:val="0"/>
          <w:numId w:val="7"/>
        </w:numPr>
        <w:rPr>
          <w:rFonts w:hint="eastAsia" w:ascii="黑体" w:hAnsi="Times New Roman" w:eastAsia="黑体" w:cs="Times New Roman"/>
          <w:kern w:val="2"/>
          <w:sz w:val="32"/>
          <w:szCs w:val="32"/>
          <w:lang w:val="en-US" w:eastAsia="zh-CN" w:bidi="ar-SA"/>
        </w:rPr>
      </w:pPr>
      <w:r>
        <w:rPr>
          <w:rFonts w:hint="eastAsia" w:ascii="黑体" w:hAnsi="Times New Roman" w:eastAsia="黑体" w:cs="Times New Roman"/>
          <w:kern w:val="2"/>
          <w:sz w:val="32"/>
          <w:szCs w:val="32"/>
          <w:lang w:val="en-US" w:eastAsia="zh-CN" w:bidi="ar-SA"/>
        </w:rPr>
        <w:t>贯彻实施标准的要求及措施</w:t>
      </w:r>
    </w:p>
    <w:p>
      <w:pPr>
        <w:numPr>
          <w:ilvl w:val="0"/>
          <w:numId w:val="0"/>
        </w:numPr>
        <w:ind w:firstLine="640" w:firstLineChars="200"/>
        <w:rPr>
          <w:rFonts w:hint="default" w:ascii="仿宋" w:hAnsi="仿宋" w:eastAsia="仿宋"/>
          <w:kern w:val="2"/>
          <w:sz w:val="32"/>
          <w:szCs w:val="32"/>
          <w:lang w:val="en-US" w:eastAsia="zh-CN"/>
        </w:rPr>
      </w:pPr>
      <w:r>
        <w:rPr>
          <w:rFonts w:hint="default" w:ascii="仿宋" w:hAnsi="仿宋" w:eastAsia="仿宋"/>
          <w:kern w:val="2"/>
          <w:sz w:val="32"/>
          <w:szCs w:val="32"/>
          <w:lang w:val="en-US" w:eastAsia="zh-CN"/>
        </w:rPr>
        <w:t>本标准发布实施后，建议标准的制定单位</w:t>
      </w:r>
      <w:r>
        <w:rPr>
          <w:rFonts w:hint="eastAsia" w:ascii="仿宋" w:hAnsi="仿宋" w:eastAsia="仿宋"/>
          <w:kern w:val="2"/>
          <w:sz w:val="32"/>
          <w:szCs w:val="32"/>
          <w:lang w:val="en-US" w:eastAsia="zh-CN"/>
        </w:rPr>
        <w:t>、</w:t>
      </w:r>
      <w:r>
        <w:rPr>
          <w:rFonts w:hint="default" w:ascii="仿宋" w:hAnsi="仿宋" w:eastAsia="仿宋"/>
          <w:kern w:val="2"/>
          <w:sz w:val="32"/>
          <w:szCs w:val="32"/>
          <w:lang w:val="en-US" w:eastAsia="zh-CN"/>
        </w:rPr>
        <w:t>管理单位，以及与标准涉及内容相联系的相关单位能够积极宣传本标准的突出适用性，并积极推广本标准在我省境内的使用</w:t>
      </w:r>
      <w:r>
        <w:rPr>
          <w:rFonts w:hint="eastAsia" w:ascii="仿宋" w:hAnsi="仿宋" w:eastAsia="仿宋"/>
          <w:kern w:val="2"/>
          <w:sz w:val="32"/>
          <w:szCs w:val="32"/>
          <w:lang w:val="en-US" w:eastAsia="zh-CN"/>
        </w:rPr>
        <w:t>，</w:t>
      </w:r>
      <w:r>
        <w:rPr>
          <w:rFonts w:hint="default" w:ascii="仿宋" w:hAnsi="仿宋" w:eastAsia="仿宋"/>
          <w:kern w:val="2"/>
          <w:sz w:val="32"/>
          <w:szCs w:val="32"/>
          <w:lang w:val="en-US" w:eastAsia="zh-CN"/>
        </w:rPr>
        <w:t>在广泛宣传的同时，以</w:t>
      </w:r>
      <w:r>
        <w:rPr>
          <w:rFonts w:hint="eastAsia" w:ascii="仿宋" w:hAnsi="仿宋" w:eastAsia="仿宋"/>
          <w:kern w:val="2"/>
          <w:sz w:val="32"/>
          <w:szCs w:val="32"/>
          <w:lang w:val="en-US" w:eastAsia="zh-CN"/>
        </w:rPr>
        <w:t>种植</w:t>
      </w:r>
      <w:r>
        <w:rPr>
          <w:rFonts w:hint="default" w:ascii="仿宋" w:hAnsi="仿宋" w:eastAsia="仿宋"/>
          <w:kern w:val="2"/>
          <w:sz w:val="32"/>
          <w:szCs w:val="32"/>
          <w:lang w:val="en-US" w:eastAsia="zh-CN"/>
        </w:rPr>
        <w:t>合作社为中心，严格按照技术规程组织实施</w:t>
      </w:r>
      <w:r>
        <w:rPr>
          <w:rFonts w:hint="eastAsia" w:ascii="仿宋" w:hAnsi="仿宋" w:eastAsia="仿宋"/>
          <w:kern w:val="2"/>
          <w:sz w:val="32"/>
          <w:szCs w:val="32"/>
          <w:lang w:val="en-US" w:eastAsia="zh-CN"/>
        </w:rPr>
        <w:t>，</w:t>
      </w:r>
      <w:r>
        <w:rPr>
          <w:rFonts w:hint="default" w:ascii="仿宋" w:hAnsi="仿宋" w:eastAsia="仿宋"/>
          <w:kern w:val="2"/>
          <w:sz w:val="32"/>
          <w:szCs w:val="32"/>
          <w:lang w:val="en-US" w:eastAsia="zh-CN"/>
        </w:rPr>
        <w:t>针对不同的对象，有侧重点地进行培训和宣传，提高技术到位率和农民的技术素质，充分发挥本技术规程的作用</w:t>
      </w:r>
      <w:r>
        <w:rPr>
          <w:rFonts w:hint="eastAsia" w:ascii="仿宋" w:hAnsi="仿宋" w:eastAsia="仿宋"/>
          <w:kern w:val="2"/>
          <w:sz w:val="32"/>
          <w:szCs w:val="32"/>
          <w:lang w:val="en-US" w:eastAsia="zh-CN"/>
        </w:rPr>
        <w:t>，</w:t>
      </w:r>
      <w:r>
        <w:rPr>
          <w:rFonts w:hint="default" w:ascii="仿宋" w:hAnsi="仿宋" w:eastAsia="仿宋"/>
          <w:kern w:val="2"/>
          <w:sz w:val="32"/>
          <w:szCs w:val="32"/>
          <w:lang w:val="en-US" w:eastAsia="zh-CN"/>
        </w:rPr>
        <w:t>做到标准生产、规范生产、发挥标准在农业生产中应有的作用，推动当归</w:t>
      </w:r>
      <w:r>
        <w:rPr>
          <w:rFonts w:hint="eastAsia" w:ascii="仿宋" w:hAnsi="仿宋" w:eastAsia="仿宋"/>
          <w:kern w:val="2"/>
          <w:sz w:val="32"/>
          <w:szCs w:val="32"/>
          <w:lang w:val="en-US" w:eastAsia="zh-CN"/>
        </w:rPr>
        <w:t>产地初加工</w:t>
      </w:r>
      <w:r>
        <w:rPr>
          <w:rFonts w:hint="default" w:ascii="仿宋" w:hAnsi="仿宋" w:eastAsia="仿宋"/>
          <w:kern w:val="2"/>
          <w:sz w:val="32"/>
          <w:szCs w:val="32"/>
          <w:lang w:val="en-US" w:eastAsia="zh-CN"/>
        </w:rPr>
        <w:t>产业向标准化方向发展。同时,建议本标准的制定人或单位适时将本标准的管理单位、使用人或单位针对本标准在管理或实施过程遇到的管理或技术问题反馈回来的意见进行整理，以便对本标准进行修订，从而更加提升本标准的科学性和适用性</w:t>
      </w:r>
      <w:r>
        <w:rPr>
          <w:rFonts w:hint="eastAsia" w:ascii="仿宋" w:hAnsi="仿宋" w:eastAsia="仿宋"/>
          <w:kern w:val="2"/>
          <w:sz w:val="32"/>
          <w:szCs w:val="32"/>
          <w:lang w:val="en-US" w:eastAsia="zh-CN"/>
        </w:rPr>
        <w:t>。</w:t>
      </w:r>
    </w:p>
    <w:p>
      <w:pPr>
        <w:numPr>
          <w:ilvl w:val="0"/>
          <w:numId w:val="7"/>
        </w:numPr>
        <w:rPr>
          <w:rFonts w:hint="eastAsia" w:ascii="黑体" w:hAnsi="Times New Roman" w:eastAsia="黑体" w:cs="Times New Roman"/>
          <w:kern w:val="2"/>
          <w:sz w:val="32"/>
          <w:szCs w:val="32"/>
          <w:lang w:val="en-US" w:eastAsia="zh-CN" w:bidi="ar-SA"/>
        </w:rPr>
      </w:pPr>
      <w:r>
        <w:rPr>
          <w:rFonts w:hint="eastAsia" w:ascii="黑体" w:hAnsi="Times New Roman" w:eastAsia="黑体" w:cs="Times New Roman"/>
          <w:kern w:val="2"/>
          <w:sz w:val="32"/>
          <w:szCs w:val="32"/>
          <w:lang w:val="en-US" w:eastAsia="zh-CN" w:bidi="ar-SA"/>
        </w:rPr>
        <w:t>预期的经济和社会效益</w:t>
      </w:r>
    </w:p>
    <w:p>
      <w:pPr>
        <w:numPr>
          <w:ilvl w:val="0"/>
          <w:numId w:val="0"/>
        </w:numPr>
        <w:ind w:firstLine="640" w:firstLineChars="200"/>
        <w:rPr>
          <w:rFonts w:hint="eastAsia" w:ascii="仿宋" w:hAnsi="仿宋" w:eastAsia="仿宋"/>
          <w:kern w:val="2"/>
          <w:sz w:val="32"/>
          <w:szCs w:val="32"/>
          <w:lang w:val="en-US" w:eastAsia="zh-CN"/>
        </w:rPr>
      </w:pPr>
      <w:r>
        <w:rPr>
          <w:rFonts w:hint="eastAsia" w:ascii="仿宋" w:hAnsi="仿宋" w:eastAsia="仿宋"/>
          <w:kern w:val="2"/>
          <w:sz w:val="32"/>
          <w:szCs w:val="32"/>
          <w:lang w:val="en-US" w:eastAsia="zh-CN"/>
        </w:rPr>
        <w:t>本标准可规范当归种苗繁育及分级，促进当归种苗繁育标准化发展，提高种苗产量和品质，满足青海省种苗统繁统供率，合理优化农民种植结构调整，实现可持续利用，提高农民收入，满足当归药材市场需求等都具有重要意义。可以预期本标准在发布实施以后，可以一定程度上规范我省当归种苗繁育及分级，解决目前青海省当归种苗繁育技术落后，来源只能依靠甘肃，种苗质量混乱，效益低的问题。通过标准指导当归种苗繁育、分级，满足市场需求，有效地把产品优势转化为经济优势，对促进青海中药材产业发展，创建我省优质中药材品牌都将发挥重要作用。</w:t>
      </w:r>
    </w:p>
    <w:p>
      <w:pPr>
        <w:numPr>
          <w:ilvl w:val="0"/>
          <w:numId w:val="0"/>
        </w:numPr>
        <w:ind w:firstLine="640" w:firstLineChars="200"/>
        <w:rPr>
          <w:rFonts w:hint="eastAsia" w:ascii="仿宋" w:hAnsi="仿宋" w:eastAsia="仿宋"/>
          <w:b w:val="0"/>
          <w:bCs w:val="0"/>
          <w:kern w:val="2"/>
          <w:sz w:val="32"/>
          <w:szCs w:val="32"/>
          <w:lang w:val="en-US" w:eastAsia="zh-CN"/>
        </w:rPr>
      </w:pPr>
      <w:r>
        <w:rPr>
          <w:rFonts w:hint="eastAsia" w:ascii="仿宋" w:hAnsi="仿宋" w:eastAsia="仿宋"/>
          <w:b w:val="0"/>
          <w:bCs w:val="0"/>
          <w:kern w:val="2"/>
          <w:sz w:val="32"/>
          <w:szCs w:val="32"/>
          <w:lang w:val="en-US" w:eastAsia="zh-CN"/>
        </w:rPr>
        <w:t>本标准自发布实施5年后进行修订。</w:t>
      </w:r>
    </w:p>
    <w:p>
      <w:pPr>
        <w:numPr>
          <w:ilvl w:val="0"/>
          <w:numId w:val="0"/>
        </w:numPr>
        <w:ind w:firstLine="2560" w:firstLineChars="800"/>
        <w:rPr>
          <w:rFonts w:hint="default" w:ascii="仿宋" w:hAnsi="仿宋" w:eastAsia="仿宋"/>
          <w:kern w:val="2"/>
          <w:sz w:val="32"/>
          <w:szCs w:val="32"/>
          <w:lang w:val="en-US" w:eastAsia="zh-CN"/>
        </w:rPr>
      </w:pPr>
      <w:r>
        <w:rPr>
          <w:rFonts w:hint="eastAsia" w:ascii="仿宋" w:hAnsi="仿宋" w:eastAsia="仿宋"/>
          <w:kern w:val="2"/>
          <w:sz w:val="32"/>
          <w:szCs w:val="32"/>
          <w:lang w:val="en-US" w:eastAsia="zh-CN"/>
        </w:rPr>
        <w:t>《当归种苗繁育及分级》标准起草小组</w:t>
      </w:r>
    </w:p>
    <w:p>
      <w:pPr>
        <w:keepNext w:val="0"/>
        <w:keepLines w:val="0"/>
        <w:pageBreakBefore w:val="0"/>
        <w:widowControl w:val="0"/>
        <w:numPr>
          <w:ilvl w:val="0"/>
          <w:numId w:val="0"/>
        </w:numPr>
        <w:kinsoku/>
        <w:wordWrap/>
        <w:overflowPunct/>
        <w:topLinePunct w:val="0"/>
        <w:autoSpaceDE/>
        <w:autoSpaceDN/>
        <w:bidi w:val="0"/>
        <w:adjustRightInd/>
        <w:snapToGrid/>
        <w:textAlignment w:val="auto"/>
        <w:outlineLvl w:val="1"/>
      </w:pPr>
      <w:bookmarkStart w:id="12" w:name="_GoBack"/>
      <w:bookmarkEnd w:id="12"/>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宋体"/>
    <w:panose1 w:val="03000509000000000000"/>
    <w:charset w:val="86"/>
    <w:family w:val="script"/>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67EC64"/>
    <w:multiLevelType w:val="singleLevel"/>
    <w:tmpl w:val="9767EC64"/>
    <w:lvl w:ilvl="0" w:tentative="0">
      <w:start w:val="8"/>
      <w:numFmt w:val="chineseCounting"/>
      <w:suff w:val="nothing"/>
      <w:lvlText w:val="%1、"/>
      <w:lvlJc w:val="left"/>
      <w:rPr>
        <w:rFonts w:hint="eastAsia"/>
      </w:rPr>
    </w:lvl>
  </w:abstractNum>
  <w:abstractNum w:abstractNumId="1">
    <w:nsid w:val="D3B5531C"/>
    <w:multiLevelType w:val="singleLevel"/>
    <w:tmpl w:val="D3B5531C"/>
    <w:lvl w:ilvl="0" w:tentative="0">
      <w:start w:val="2"/>
      <w:numFmt w:val="decimal"/>
      <w:suff w:val="space"/>
      <w:lvlText w:val="%1."/>
      <w:lvlJc w:val="left"/>
    </w:lvl>
  </w:abstractNum>
  <w:abstractNum w:abstractNumId="2">
    <w:nsid w:val="1A5D269B"/>
    <w:multiLevelType w:val="multilevel"/>
    <w:tmpl w:val="1A5D269B"/>
    <w:lvl w:ilvl="0" w:tentative="0">
      <w:start w:val="1"/>
      <w:numFmt w:val="chineseCountingThousand"/>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3CC87DD1"/>
    <w:multiLevelType w:val="singleLevel"/>
    <w:tmpl w:val="3CC87DD1"/>
    <w:lvl w:ilvl="0" w:tentative="0">
      <w:start w:val="3"/>
      <w:numFmt w:val="decimal"/>
      <w:suff w:val="nothing"/>
      <w:lvlText w:val="（%1）"/>
      <w:lvlJc w:val="left"/>
      <w:pPr>
        <w:ind w:left="640" w:leftChars="0" w:firstLine="0" w:firstLineChars="0"/>
      </w:pPr>
    </w:lvl>
  </w:abstractNum>
  <w:abstractNum w:abstractNumId="4">
    <w:nsid w:val="3F7FD47F"/>
    <w:multiLevelType w:val="singleLevel"/>
    <w:tmpl w:val="3F7FD47F"/>
    <w:lvl w:ilvl="0" w:tentative="0">
      <w:start w:val="2"/>
      <w:numFmt w:val="chineseCounting"/>
      <w:suff w:val="nothing"/>
      <w:lvlText w:val="（%1）"/>
      <w:lvlJc w:val="left"/>
      <w:rPr>
        <w:rFonts w:hint="eastAsia"/>
      </w:rPr>
    </w:lvl>
  </w:abstractNum>
  <w:abstractNum w:abstractNumId="5">
    <w:nsid w:val="416763EF"/>
    <w:multiLevelType w:val="singleLevel"/>
    <w:tmpl w:val="416763EF"/>
    <w:lvl w:ilvl="0" w:tentative="0">
      <w:start w:val="1"/>
      <w:numFmt w:val="chineseCounting"/>
      <w:suff w:val="nothing"/>
      <w:lvlText w:val="%1、"/>
      <w:lvlJc w:val="left"/>
      <w:rPr>
        <w:rFonts w:hint="eastAsia"/>
      </w:rPr>
    </w:lvl>
  </w:abstractNum>
  <w:abstractNum w:abstractNumId="6">
    <w:nsid w:val="5C5159A5"/>
    <w:multiLevelType w:val="singleLevel"/>
    <w:tmpl w:val="5C5159A5"/>
    <w:lvl w:ilvl="0" w:tentative="0">
      <w:start w:val="1"/>
      <w:numFmt w:val="decimal"/>
      <w:suff w:val="space"/>
      <w:lvlText w:val="%1."/>
      <w:lvlJc w:val="left"/>
    </w:lvl>
  </w:abstractNum>
  <w:num w:numId="1">
    <w:abstractNumId w:val="5"/>
  </w:num>
  <w:num w:numId="2">
    <w:abstractNumId w:val="2"/>
  </w:num>
  <w:num w:numId="3">
    <w:abstractNumId w:val="1"/>
  </w:num>
  <w:num w:numId="4">
    <w:abstractNumId w:val="6"/>
  </w:num>
  <w:num w:numId="5">
    <w:abstractNumId w:val="4"/>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30976C2"/>
    <w:rsid w:val="00B21C62"/>
    <w:rsid w:val="025964AF"/>
    <w:rsid w:val="04BB657A"/>
    <w:rsid w:val="07F338D1"/>
    <w:rsid w:val="09E94B3F"/>
    <w:rsid w:val="0E8B1544"/>
    <w:rsid w:val="15962D1E"/>
    <w:rsid w:val="16D457F4"/>
    <w:rsid w:val="1B385358"/>
    <w:rsid w:val="1E893E28"/>
    <w:rsid w:val="230976C2"/>
    <w:rsid w:val="26542296"/>
    <w:rsid w:val="269912F4"/>
    <w:rsid w:val="27F04FBC"/>
    <w:rsid w:val="30581C78"/>
    <w:rsid w:val="31986B58"/>
    <w:rsid w:val="32E239DD"/>
    <w:rsid w:val="3CB02730"/>
    <w:rsid w:val="3F80236E"/>
    <w:rsid w:val="42B536B9"/>
    <w:rsid w:val="42F5030D"/>
    <w:rsid w:val="4912496E"/>
    <w:rsid w:val="4EE7246A"/>
    <w:rsid w:val="54292407"/>
    <w:rsid w:val="557E17D4"/>
    <w:rsid w:val="57880A33"/>
    <w:rsid w:val="612A24FF"/>
    <w:rsid w:val="61E23651"/>
    <w:rsid w:val="62E2261D"/>
    <w:rsid w:val="65CE498F"/>
    <w:rsid w:val="66E33E44"/>
    <w:rsid w:val="6DEF6212"/>
    <w:rsid w:val="6F481663"/>
    <w:rsid w:val="72173E3E"/>
    <w:rsid w:val="748570A3"/>
    <w:rsid w:val="78CF049C"/>
    <w:rsid w:val="78F20A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caption"/>
    <w:basedOn w:val="1"/>
    <w:next w:val="1"/>
    <w:unhideWhenUsed/>
    <w:qFormat/>
    <w:uiPriority w:val="0"/>
    <w:rPr>
      <w:rFonts w:ascii="Arial" w:hAnsi="Arial" w:eastAsia="黑体"/>
      <w:sz w:val="20"/>
    </w:r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Emphasis"/>
    <w:basedOn w:val="6"/>
    <w:qFormat/>
    <w:uiPriority w:val="0"/>
    <w:rPr>
      <w:i/>
    </w:rPr>
  </w:style>
  <w:style w:type="character" w:styleId="8">
    <w:name w:val="Hyperlink"/>
    <w:basedOn w:val="6"/>
    <w:qFormat/>
    <w:uiPriority w:val="0"/>
    <w:rPr>
      <w:color w:val="0000FF"/>
      <w:u w:val="single"/>
    </w:rPr>
  </w:style>
  <w:style w:type="paragraph" w:customStyle="1" w:styleId="9">
    <w:name w:val="封面标准名称"/>
    <w:qFormat/>
    <w:uiPriority w:val="0"/>
    <w:pPr>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0">
    <w:name w:val="段"/>
    <w:qFormat/>
    <w:uiPriority w:val="0"/>
    <w:pPr>
      <w:ind w:firstLine="200" w:firstLineChars="200"/>
      <w:jc w:val="both"/>
    </w:pPr>
    <w:rPr>
      <w:rFonts w:ascii="宋体" w:hAnsi="Times New Roman" w:eastAsia="宋体" w:cs="Times New Roman"/>
      <w:sz w:val="21"/>
      <w:lang w:val="en-US" w:eastAsia="zh-CN" w:bidi="ar-SA"/>
    </w:rPr>
  </w:style>
  <w:style w:type="paragraph" w:customStyle="1" w:styleId="11">
    <w:name w:val="章标题"/>
    <w:next w:val="10"/>
    <w:qFormat/>
    <w:uiPriority w:val="0"/>
    <w:pPr>
      <w:spacing w:before="312" w:beforeLines="100" w:after="312" w:afterLines="100"/>
      <w:jc w:val="both"/>
      <w:outlineLvl w:val="1"/>
    </w:pPr>
    <w:rPr>
      <w:rFonts w:ascii="黑体" w:hAnsi="Times New Roman" w:eastAsia="黑体" w:cs="Times New Roman"/>
      <w:sz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chart" Target="charts/chart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24037;&#20316;&#31807;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935685717018045"/>
          <c:y val="0.0727090205076724"/>
          <c:w val="0.801634211531122"/>
          <c:h val="0.821368134232038"/>
        </c:manualLayout>
      </c:layout>
      <c:lineChart>
        <c:grouping val="standard"/>
        <c:varyColors val="0"/>
        <c:ser>
          <c:idx val="0"/>
          <c:order val="0"/>
          <c:tx>
            <c:strRef>
              <c:f>[工作簿1]Sheet1!$A$2</c:f>
              <c:strCache>
                <c:ptCount val="1"/>
                <c:pt idx="0">
                  <c:v>80d</c:v>
                </c:pt>
              </c:strCache>
            </c:strRef>
          </c:tx>
          <c:spPr>
            <a:ln w="28575" cap="rnd" cmpd="sng" algn="ctr">
              <a:solidFill>
                <a:schemeClr val="tx1"/>
              </a:solidFill>
              <a:prstDash val="solid"/>
              <a:round/>
              <a:headEnd type="diamond"/>
              <a:tailEnd type="diamond"/>
            </a:ln>
            <a:effectLst/>
          </c:spPr>
          <c:marker>
            <c:symbol val="none"/>
          </c:marker>
          <c:dLbls>
            <c:dLbl>
              <c:idx val="0"/>
              <c:delete val="1"/>
            </c:dLbl>
            <c:dLbl>
              <c:idx val="1"/>
              <c:delete val="1"/>
            </c:dLbl>
            <c:dLbl>
              <c:idx val="2"/>
              <c:delete val="1"/>
            </c:dLbl>
            <c:dLbl>
              <c:idx val="3"/>
              <c:delete val="1"/>
            </c:dLbl>
            <c:dLbl>
              <c:idx val="4"/>
              <c:delete val="1"/>
            </c:dLbl>
            <c:dLbl>
              <c:idx val="5"/>
              <c:layout/>
              <c:dLblPos val="t"/>
              <c:showLegendKey val="0"/>
              <c:showVal val="1"/>
              <c:showCatName val="0"/>
              <c:showSerName val="0"/>
              <c:showPercent val="0"/>
              <c:showBubbleSize val="0"/>
              <c:extLst>
                <c:ext xmlns:c15="http://schemas.microsoft.com/office/drawing/2012/chart" uri="{CE6537A1-D6FC-4f65-9D91-7224C49458BB}"/>
              </c:extLst>
            </c:dLbl>
            <c:dLbl>
              <c:idx val="6"/>
              <c:delete val="1"/>
            </c:dLbl>
            <c:dLbl>
              <c:idx val="7"/>
              <c:delete val="1"/>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r"/>
            <c:showLegendKey val="0"/>
            <c:showVal val="0"/>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[工作簿1]Sheet1!$B$1:$I$1</c:f>
              <c:strCache>
                <c:ptCount val="8"/>
                <c:pt idx="0">
                  <c:v>6月15号</c:v>
                </c:pt>
                <c:pt idx="1">
                  <c:v>6月20</c:v>
                </c:pt>
                <c:pt idx="2">
                  <c:v>6月25日</c:v>
                </c:pt>
                <c:pt idx="3">
                  <c:v>6月30日</c:v>
                </c:pt>
                <c:pt idx="4">
                  <c:v>7月5日</c:v>
                </c:pt>
                <c:pt idx="5">
                  <c:v>7月10号</c:v>
                </c:pt>
                <c:pt idx="6">
                  <c:v>7月15日</c:v>
                </c:pt>
                <c:pt idx="7">
                  <c:v>7月20日</c:v>
                </c:pt>
              </c:strCache>
            </c:strRef>
          </c:cat>
          <c:val>
            <c:numRef>
              <c:f>[工作簿1]Sheet1!$B$2:$I$2</c:f>
              <c:numCache>
                <c:formatCode>General</c:formatCode>
                <c:ptCount val="8"/>
                <c:pt idx="0">
                  <c:v>0</c:v>
                </c:pt>
                <c:pt idx="1">
                  <c:v>0</c:v>
                </c:pt>
                <c:pt idx="2">
                  <c:v>6</c:v>
                </c:pt>
                <c:pt idx="3">
                  <c:v>12</c:v>
                </c:pt>
                <c:pt idx="4">
                  <c:v>15</c:v>
                </c:pt>
                <c:pt idx="5">
                  <c:v>16</c:v>
                </c:pt>
                <c:pt idx="6">
                  <c:v>4</c:v>
                </c:pt>
                <c:pt idx="7">
                  <c:v>3</c:v>
                </c:pt>
              </c:numCache>
            </c:numRef>
          </c:val>
          <c:smooth val="0"/>
        </c:ser>
        <c:ser>
          <c:idx val="1"/>
          <c:order val="1"/>
          <c:tx>
            <c:strRef>
              <c:f>[工作簿1]Sheet1!$A$3</c:f>
              <c:strCache>
                <c:ptCount val="1"/>
                <c:pt idx="0">
                  <c:v>90d</c:v>
                </c:pt>
              </c:strCache>
            </c:strRef>
          </c:tx>
          <c:spPr>
            <a:ln w="28575" cap="rnd" cmpd="sng" algn="ctr">
              <a:solidFill>
                <a:schemeClr val="tx1"/>
              </a:solidFill>
              <a:prstDash val="sysDot"/>
              <a:round/>
              <a:headEnd type="diamond"/>
              <a:tailEnd type="diamond"/>
            </a:ln>
            <a:effectLst/>
          </c:spPr>
          <c:marker>
            <c:symbol val="none"/>
          </c:marker>
          <c:dLbls>
            <c:dLbl>
              <c:idx val="0"/>
              <c:delete val="1"/>
            </c:dLbl>
            <c:dLbl>
              <c:idx val="1"/>
              <c:delete val="1"/>
            </c:dLbl>
            <c:dLbl>
              <c:idx val="2"/>
              <c:delete val="1"/>
            </c:dLbl>
            <c:dLbl>
              <c:idx val="3"/>
              <c:delete val="1"/>
            </c:dLbl>
            <c:dLbl>
              <c:idx val="4"/>
              <c:layout/>
              <c:dLblPos val="t"/>
              <c:showLegendKey val="0"/>
              <c:showVal val="1"/>
              <c:showCatName val="0"/>
              <c:showSerName val="0"/>
              <c:showPercent val="0"/>
              <c:showBubbleSize val="0"/>
              <c:extLst>
                <c:ext xmlns:c15="http://schemas.microsoft.com/office/drawing/2012/chart" uri="{CE6537A1-D6FC-4f65-9D91-7224C49458BB}"/>
              </c:extLst>
            </c:dLbl>
            <c:dLbl>
              <c:idx val="5"/>
              <c:delete val="1"/>
            </c:dLbl>
            <c:dLbl>
              <c:idx val="6"/>
              <c:delete val="1"/>
            </c:dLbl>
            <c:dLbl>
              <c:idx val="7"/>
              <c:delete val="1"/>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r"/>
            <c:showLegendKey val="0"/>
            <c:showVal val="0"/>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[工作簿1]Sheet1!$B$1:$I$1</c:f>
              <c:strCache>
                <c:ptCount val="8"/>
                <c:pt idx="0">
                  <c:v>6月15号</c:v>
                </c:pt>
                <c:pt idx="1">
                  <c:v>6月20</c:v>
                </c:pt>
                <c:pt idx="2">
                  <c:v>6月25日</c:v>
                </c:pt>
                <c:pt idx="3">
                  <c:v>6月30日</c:v>
                </c:pt>
                <c:pt idx="4">
                  <c:v>7月5日</c:v>
                </c:pt>
                <c:pt idx="5">
                  <c:v>7月10号</c:v>
                </c:pt>
                <c:pt idx="6">
                  <c:v>7月15日</c:v>
                </c:pt>
                <c:pt idx="7">
                  <c:v>7月20日</c:v>
                </c:pt>
              </c:strCache>
            </c:strRef>
          </c:cat>
          <c:val>
            <c:numRef>
              <c:f>[工作簿1]Sheet1!$B$3:$I$3</c:f>
              <c:numCache>
                <c:formatCode>General</c:formatCode>
                <c:ptCount val="8"/>
                <c:pt idx="0">
                  <c:v>0</c:v>
                </c:pt>
                <c:pt idx="1">
                  <c:v>3</c:v>
                </c:pt>
                <c:pt idx="2">
                  <c:v>9</c:v>
                </c:pt>
                <c:pt idx="3">
                  <c:v>17</c:v>
                </c:pt>
                <c:pt idx="4">
                  <c:v>20</c:v>
                </c:pt>
                <c:pt idx="5">
                  <c:v>4</c:v>
                </c:pt>
                <c:pt idx="6">
                  <c:v>3</c:v>
                </c:pt>
                <c:pt idx="7">
                  <c:v>2</c:v>
                </c:pt>
              </c:numCache>
            </c:numRef>
          </c:val>
          <c:smooth val="0"/>
        </c:ser>
        <c:ser>
          <c:idx val="2"/>
          <c:order val="2"/>
          <c:tx>
            <c:strRef>
              <c:f>[工作簿1]Sheet1!$A$4</c:f>
              <c:strCache>
                <c:ptCount val="1"/>
                <c:pt idx="0">
                  <c:v>100d</c:v>
                </c:pt>
              </c:strCache>
            </c:strRef>
          </c:tx>
          <c:spPr>
            <a:ln w="28575" cap="rnd" cmpd="sng" algn="ctr">
              <a:solidFill>
                <a:schemeClr val="tx1"/>
              </a:solidFill>
              <a:prstDash val="lgDash"/>
              <a:round/>
              <a:headEnd type="oval"/>
              <a:tailEnd type="oval"/>
            </a:ln>
            <a:effectLst/>
          </c:spPr>
          <c:marker>
            <c:symbol val="none"/>
          </c:marker>
          <c:dLbls>
            <c:dLbl>
              <c:idx val="0"/>
              <c:delete val="1"/>
            </c:dLbl>
            <c:dLbl>
              <c:idx val="1"/>
              <c:delete val="1"/>
            </c:dLbl>
            <c:dLbl>
              <c:idx val="2"/>
              <c:delete val="1"/>
            </c:dLbl>
            <c:dLbl>
              <c:idx val="3"/>
              <c:layout/>
              <c:dLblPos val="t"/>
              <c:showLegendKey val="0"/>
              <c:showVal val="1"/>
              <c:showCatName val="0"/>
              <c:showSerName val="0"/>
              <c:showPercent val="0"/>
              <c:showBubbleSize val="0"/>
              <c:extLst>
                <c:ext xmlns:c15="http://schemas.microsoft.com/office/drawing/2012/chart" uri="{CE6537A1-D6FC-4f65-9D91-7224C49458BB}"/>
              </c:extLst>
            </c:dLbl>
            <c:dLbl>
              <c:idx val="4"/>
              <c:delete val="1"/>
            </c:dLbl>
            <c:dLbl>
              <c:idx val="5"/>
              <c:delete val="1"/>
            </c:dLbl>
            <c:dLbl>
              <c:idx val="6"/>
              <c:delete val="1"/>
            </c:dLbl>
            <c:dLbl>
              <c:idx val="7"/>
              <c:delete val="1"/>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r"/>
            <c:showLegendKey val="0"/>
            <c:showVal val="0"/>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[工作簿1]Sheet1!$B$1:$I$1</c:f>
              <c:strCache>
                <c:ptCount val="8"/>
                <c:pt idx="0">
                  <c:v>6月15号</c:v>
                </c:pt>
                <c:pt idx="1">
                  <c:v>6月20</c:v>
                </c:pt>
                <c:pt idx="2">
                  <c:v>6月25日</c:v>
                </c:pt>
                <c:pt idx="3">
                  <c:v>6月30日</c:v>
                </c:pt>
                <c:pt idx="4">
                  <c:v>7月5日</c:v>
                </c:pt>
                <c:pt idx="5">
                  <c:v>7月10号</c:v>
                </c:pt>
                <c:pt idx="6">
                  <c:v>7月15日</c:v>
                </c:pt>
                <c:pt idx="7">
                  <c:v>7月20日</c:v>
                </c:pt>
              </c:strCache>
            </c:strRef>
          </c:cat>
          <c:val>
            <c:numRef>
              <c:f>[工作簿1]Sheet1!$B$4:$I$4</c:f>
              <c:numCache>
                <c:formatCode>General</c:formatCode>
                <c:ptCount val="8"/>
                <c:pt idx="0">
                  <c:v>3</c:v>
                </c:pt>
                <c:pt idx="1">
                  <c:v>5</c:v>
                </c:pt>
                <c:pt idx="2">
                  <c:v>19</c:v>
                </c:pt>
                <c:pt idx="3">
                  <c:v>29</c:v>
                </c:pt>
                <c:pt idx="4">
                  <c:v>6</c:v>
                </c:pt>
                <c:pt idx="5">
                  <c:v>1</c:v>
                </c:pt>
                <c:pt idx="6">
                  <c:v>0</c:v>
                </c:pt>
                <c:pt idx="7">
                  <c:v>0</c:v>
                </c:pt>
              </c:numCache>
            </c:numRef>
          </c:val>
          <c:smooth val="0"/>
        </c:ser>
        <c:ser>
          <c:idx val="3"/>
          <c:order val="3"/>
          <c:tx>
            <c:strRef>
              <c:f>[工作簿1]Sheet1!$A$5</c:f>
              <c:strCache>
                <c:ptCount val="1"/>
                <c:pt idx="0">
                  <c:v>110d</c:v>
                </c:pt>
              </c:strCache>
            </c:strRef>
          </c:tx>
          <c:spPr>
            <a:ln w="28575" cap="rnd" cmpd="sng" algn="ctr">
              <a:solidFill>
                <a:schemeClr val="tx1"/>
              </a:solidFill>
              <a:prstDash val="sysDash"/>
              <a:round/>
              <a:headEnd type="diamond"/>
              <a:tailEnd type="diamond"/>
            </a:ln>
            <a:effectLst/>
          </c:spPr>
          <c:marker>
            <c:symbol val="none"/>
          </c:marker>
          <c:dLbls>
            <c:dLbl>
              <c:idx val="0"/>
              <c:delete val="1"/>
            </c:dLbl>
            <c:dLbl>
              <c:idx val="1"/>
              <c:delete val="1"/>
            </c:dLbl>
            <c:dLbl>
              <c:idx val="2"/>
              <c:delete val="1"/>
            </c:dLbl>
            <c:dLbl>
              <c:idx val="3"/>
              <c:layout>
                <c:manualLayout>
                  <c:x val="-0.0194730813287515"/>
                  <c:y val="0.015058081170228"/>
                </c:manualLayout>
              </c:layout>
              <c:dLblPos val="t"/>
              <c:showLegendKey val="0"/>
              <c:showVal val="1"/>
              <c:showCatName val="0"/>
              <c:showSerName val="0"/>
              <c:showPercent val="0"/>
              <c:showBubbleSize val="0"/>
              <c:extLst>
                <c:ext xmlns:c15="http://schemas.microsoft.com/office/drawing/2012/chart" uri="{CE6537A1-D6FC-4f65-9D91-7224C49458BB}">
                  <c15:layout/>
                </c:ext>
              </c:extLst>
            </c:dLbl>
            <c:dLbl>
              <c:idx val="4"/>
              <c:delete val="1"/>
            </c:dLbl>
            <c:dLbl>
              <c:idx val="5"/>
              <c:delete val="1"/>
            </c:dLbl>
            <c:dLbl>
              <c:idx val="6"/>
              <c:delete val="1"/>
            </c:dLbl>
            <c:dLbl>
              <c:idx val="7"/>
              <c:delete val="1"/>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r"/>
            <c:showLegendKey val="0"/>
            <c:showVal val="0"/>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[工作簿1]Sheet1!$B$1:$I$1</c:f>
              <c:strCache>
                <c:ptCount val="8"/>
                <c:pt idx="0">
                  <c:v>6月15号</c:v>
                </c:pt>
                <c:pt idx="1">
                  <c:v>6月20</c:v>
                </c:pt>
                <c:pt idx="2">
                  <c:v>6月25日</c:v>
                </c:pt>
                <c:pt idx="3">
                  <c:v>6月30日</c:v>
                </c:pt>
                <c:pt idx="4">
                  <c:v>7月5日</c:v>
                </c:pt>
                <c:pt idx="5">
                  <c:v>7月10号</c:v>
                </c:pt>
                <c:pt idx="6">
                  <c:v>7月15日</c:v>
                </c:pt>
                <c:pt idx="7">
                  <c:v>7月20日</c:v>
                </c:pt>
              </c:strCache>
            </c:strRef>
          </c:cat>
          <c:val>
            <c:numRef>
              <c:f>[工作簿1]Sheet1!$B$5:$I$5</c:f>
              <c:numCache>
                <c:formatCode>General</c:formatCode>
                <c:ptCount val="8"/>
                <c:pt idx="0">
                  <c:v>6</c:v>
                </c:pt>
                <c:pt idx="1">
                  <c:v>12</c:v>
                </c:pt>
                <c:pt idx="2">
                  <c:v>18</c:v>
                </c:pt>
                <c:pt idx="3">
                  <c:v>22</c:v>
                </c:pt>
                <c:pt idx="4">
                  <c:v>6</c:v>
                </c:pt>
                <c:pt idx="5">
                  <c:v>1</c:v>
                </c:pt>
                <c:pt idx="6">
                  <c:v>2</c:v>
                </c:pt>
                <c:pt idx="7">
                  <c:v>0</c:v>
                </c:pt>
              </c:numCache>
            </c:numRef>
          </c:val>
          <c:smooth val="0"/>
        </c:ser>
        <c:ser>
          <c:idx val="4"/>
          <c:order val="4"/>
          <c:tx>
            <c:strRef>
              <c:f>[工作簿1]Sheet1!$A$6</c:f>
              <c:strCache>
                <c:ptCount val="1"/>
                <c:pt idx="0">
                  <c:v>120d</c:v>
                </c:pt>
              </c:strCache>
            </c:strRef>
          </c:tx>
          <c:spPr>
            <a:ln w="28575" cap="rnd" cmpd="sng" algn="ctr">
              <a:solidFill>
                <a:schemeClr val="tx1"/>
              </a:solidFill>
              <a:prstDash val="lgDashDotDot"/>
              <a:round/>
              <a:headEnd type="oval"/>
              <a:tailEnd type="oval"/>
            </a:ln>
            <a:effectLst/>
          </c:spPr>
          <c:marker>
            <c:symbol val="none"/>
          </c:marker>
          <c:dLbls>
            <c:dLbl>
              <c:idx val="0"/>
              <c:delete val="1"/>
            </c:dLbl>
            <c:dLbl>
              <c:idx val="1"/>
              <c:delete val="1"/>
            </c:dLbl>
            <c:dLbl>
              <c:idx val="2"/>
              <c:layout/>
              <c:dLblPos val="t"/>
              <c:showLegendKey val="0"/>
              <c:showVal val="1"/>
              <c:showCatName val="0"/>
              <c:showSerName val="0"/>
              <c:showPercent val="0"/>
              <c:showBubbleSize val="0"/>
              <c:extLst>
                <c:ext xmlns:c15="http://schemas.microsoft.com/office/drawing/2012/chart" uri="{CE6537A1-D6FC-4f65-9D91-7224C49458BB}"/>
              </c:extLst>
            </c:dLbl>
            <c:dLbl>
              <c:idx val="3"/>
              <c:delete val="1"/>
            </c:dLbl>
            <c:dLbl>
              <c:idx val="4"/>
              <c:delete val="1"/>
            </c:dLbl>
            <c:dLbl>
              <c:idx val="5"/>
              <c:delete val="1"/>
            </c:dLbl>
            <c:dLbl>
              <c:idx val="6"/>
              <c:delete val="1"/>
            </c:dLbl>
            <c:dLbl>
              <c:idx val="7"/>
              <c:delete val="1"/>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r"/>
            <c:showLegendKey val="0"/>
            <c:showVal val="0"/>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[工作簿1]Sheet1!$B$1:$I$1</c:f>
              <c:strCache>
                <c:ptCount val="8"/>
                <c:pt idx="0">
                  <c:v>6月15号</c:v>
                </c:pt>
                <c:pt idx="1">
                  <c:v>6月20</c:v>
                </c:pt>
                <c:pt idx="2">
                  <c:v>6月25日</c:v>
                </c:pt>
                <c:pt idx="3">
                  <c:v>6月30日</c:v>
                </c:pt>
                <c:pt idx="4">
                  <c:v>7月5日</c:v>
                </c:pt>
                <c:pt idx="5">
                  <c:v>7月10号</c:v>
                </c:pt>
                <c:pt idx="6">
                  <c:v>7月15日</c:v>
                </c:pt>
                <c:pt idx="7">
                  <c:v>7月20日</c:v>
                </c:pt>
              </c:strCache>
            </c:strRef>
          </c:cat>
          <c:val>
            <c:numRef>
              <c:f>[工作簿1]Sheet1!$B$6:$I$6</c:f>
              <c:numCache>
                <c:formatCode>General</c:formatCode>
                <c:ptCount val="8"/>
                <c:pt idx="0">
                  <c:v>26</c:v>
                </c:pt>
                <c:pt idx="1">
                  <c:v>34</c:v>
                </c:pt>
                <c:pt idx="2">
                  <c:v>37</c:v>
                </c:pt>
                <c:pt idx="3">
                  <c:v>26</c:v>
                </c:pt>
                <c:pt idx="4">
                  <c:v>0</c:v>
                </c:pt>
                <c:pt idx="5">
                  <c:v>0</c:v>
                </c:pt>
                <c:pt idx="6">
                  <c:v>0</c:v>
                </c:pt>
                <c:pt idx="7">
                  <c:v>0</c:v>
                </c:pt>
              </c:numCache>
            </c:numRef>
          </c:val>
          <c:smooth val="0"/>
        </c:ser>
        <c:ser>
          <c:idx val="5"/>
          <c:order val="5"/>
          <c:tx>
            <c:strRef>
              <c:f>[工作簿1]Sheet1!$A$7</c:f>
              <c:strCache>
                <c:ptCount val="1"/>
                <c:pt idx="0">
                  <c:v>130d</c:v>
                </c:pt>
              </c:strCache>
            </c:strRef>
          </c:tx>
          <c:spPr>
            <a:ln w="28575" cap="rnd" cmpd="sng" algn="ctr">
              <a:solidFill>
                <a:schemeClr val="tx1"/>
              </a:solidFill>
              <a:prstDash val="sysDash"/>
              <a:round/>
              <a:headEnd type="oval"/>
              <a:tailEnd type="oval"/>
            </a:ln>
            <a:effectLst/>
          </c:spPr>
          <c:marker>
            <c:symbol val="none"/>
          </c:marker>
          <c:dLbls>
            <c:dLbl>
              <c:idx val="0"/>
              <c:delete val="1"/>
            </c:dLbl>
            <c:dLbl>
              <c:idx val="1"/>
              <c:layout/>
              <c:dLblPos val="t"/>
              <c:showLegendKey val="0"/>
              <c:showVal val="1"/>
              <c:showCatName val="0"/>
              <c:showSerName val="0"/>
              <c:showPercent val="0"/>
              <c:showBubbleSize val="0"/>
              <c:extLst>
                <c:ext xmlns:c15="http://schemas.microsoft.com/office/drawing/2012/chart" uri="{CE6537A1-D6FC-4f65-9D91-7224C49458BB}"/>
              </c:extLst>
            </c:dLbl>
            <c:dLbl>
              <c:idx val="2"/>
              <c:delete val="1"/>
            </c:dLbl>
            <c:dLbl>
              <c:idx val="3"/>
              <c:delete val="1"/>
            </c:dLbl>
            <c:dLbl>
              <c:idx val="4"/>
              <c:delete val="1"/>
            </c:dLbl>
            <c:dLbl>
              <c:idx val="5"/>
              <c:delete val="1"/>
            </c:dLbl>
            <c:dLbl>
              <c:idx val="6"/>
              <c:delete val="1"/>
            </c:dLbl>
            <c:dLbl>
              <c:idx val="7"/>
              <c:delete val="1"/>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r"/>
            <c:showLegendKey val="0"/>
            <c:showVal val="0"/>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[工作簿1]Sheet1!$B$1:$I$1</c:f>
              <c:strCache>
                <c:ptCount val="8"/>
                <c:pt idx="0">
                  <c:v>6月15号</c:v>
                </c:pt>
                <c:pt idx="1">
                  <c:v>6月20</c:v>
                </c:pt>
                <c:pt idx="2">
                  <c:v>6月25日</c:v>
                </c:pt>
                <c:pt idx="3">
                  <c:v>6月30日</c:v>
                </c:pt>
                <c:pt idx="4">
                  <c:v>7月5日</c:v>
                </c:pt>
                <c:pt idx="5">
                  <c:v>7月10号</c:v>
                </c:pt>
                <c:pt idx="6">
                  <c:v>7月15日</c:v>
                </c:pt>
                <c:pt idx="7">
                  <c:v>7月20日</c:v>
                </c:pt>
              </c:strCache>
            </c:strRef>
          </c:cat>
          <c:val>
            <c:numRef>
              <c:f>[工作簿1]Sheet1!$B$7:$I$7</c:f>
              <c:numCache>
                <c:formatCode>General</c:formatCode>
                <c:ptCount val="8"/>
                <c:pt idx="0">
                  <c:v>44</c:v>
                </c:pt>
                <c:pt idx="1">
                  <c:v>89</c:v>
                </c:pt>
                <c:pt idx="2">
                  <c:v>74</c:v>
                </c:pt>
                <c:pt idx="3">
                  <c:v>44</c:v>
                </c:pt>
                <c:pt idx="4">
                  <c:v>3</c:v>
                </c:pt>
                <c:pt idx="5">
                  <c:v>0</c:v>
                </c:pt>
                <c:pt idx="6">
                  <c:v>0</c:v>
                </c:pt>
                <c:pt idx="7">
                  <c:v>0</c:v>
                </c:pt>
              </c:numCache>
            </c:numRef>
          </c:val>
          <c:smooth val="0"/>
        </c:ser>
        <c:dLbls>
          <c:showLegendKey val="0"/>
          <c:showVal val="0"/>
          <c:showCatName val="0"/>
          <c:showSerName val="0"/>
          <c:showPercent val="0"/>
          <c:showBubbleSize val="0"/>
        </c:dLbls>
        <c:marker val="0"/>
        <c:smooth val="0"/>
        <c:axId val="84409344"/>
        <c:axId val="88478848"/>
      </c:lineChart>
      <c:catAx>
        <c:axId val="84409344"/>
        <c:scaling>
          <c:orientation val="minMax"/>
        </c:scaling>
        <c:delete val="0"/>
        <c:axPos val="b"/>
        <c:title>
          <c:tx>
            <c:rich>
              <a:bodyPr rot="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zh-CN" altLang="en-US"/>
                  <a:t>调查日期</a:t>
                </a:r>
                <a:endParaRPr lang="zh-CN" altLang="en-US"/>
              </a:p>
            </c:rich>
          </c:tx>
          <c:layout>
            <c:manualLayout>
              <c:xMode val="edge"/>
              <c:yMode val="edge"/>
              <c:x val="0.877600304091932"/>
              <c:y val="0.942635881256275"/>
            </c:manualLayout>
          </c:layout>
          <c:overlay val="0"/>
          <c:spPr>
            <a:noFill/>
            <a:ln>
              <a:noFill/>
            </a:ln>
            <a:effectLst/>
          </c:spPr>
        </c:title>
        <c:numFmt formatCode="General" sourceLinked="0"/>
        <c:majorTickMark val="in"/>
        <c:minorTickMark val="in"/>
        <c:tickLblPos val="nextTo"/>
        <c:spPr>
          <a:noFill/>
          <a:ln w="9525" cap="flat" cmpd="sng" algn="ctr">
            <a:solidFill>
              <a:schemeClr val="tx1"/>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478848"/>
        <c:crosses val="autoZero"/>
        <c:auto val="1"/>
        <c:lblAlgn val="ctr"/>
        <c:lblOffset val="100"/>
        <c:noMultiLvlLbl val="0"/>
      </c:catAx>
      <c:valAx>
        <c:axId val="88478848"/>
        <c:scaling>
          <c:orientation val="minMax"/>
          <c:max val="90"/>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zh-CN" altLang="en-US"/>
                  <a:t>抽薹株数</a:t>
                </a:r>
                <a:r>
                  <a:rPr lang="en-US" altLang="zh-CN"/>
                  <a:t>/</a:t>
                </a:r>
                <a:r>
                  <a:rPr lang="zh-CN" altLang="en-US"/>
                  <a:t>株</a:t>
                </a:r>
                <a:endParaRPr lang="zh-CN" altLang="en-US"/>
              </a:p>
            </c:rich>
          </c:tx>
          <c:layout/>
          <c:overlay val="0"/>
          <c:spPr>
            <a:noFill/>
            <a:ln>
              <a:noFill/>
            </a:ln>
            <a:effectLst/>
          </c:spPr>
        </c:title>
        <c:numFmt formatCode="General" sourceLinked="1"/>
        <c:majorTickMark val="in"/>
        <c:minorTickMark val="none"/>
        <c:tickLblPos val="nextTo"/>
        <c:spPr>
          <a:noFill/>
          <a:ln w="9525" cap="flat" cmpd="sng" algn="ctr">
            <a:solidFill>
              <a:schemeClr val="tx1"/>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4409344"/>
        <c:crosses val="autoZero"/>
        <c:crossBetween val="between"/>
        <c:majorUnit val="5"/>
      </c:valAx>
      <c:spPr>
        <a:noFill/>
        <a:ln>
          <a:noFill/>
        </a:ln>
        <a:effectLst/>
      </c:spPr>
    </c:plotArea>
    <c:legend>
      <c:legendPos val="r"/>
      <c:layout>
        <c:manualLayout>
          <c:xMode val="edge"/>
          <c:yMode val="edge"/>
          <c:x val="0.886920859194284"/>
          <c:y val="0.263157894736842"/>
          <c:w val="0.108820160366552"/>
          <c:h val="0.505521296429087"/>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2020-12-28T08:21:00Z</dcterms:created>
  <dc:creator>泡沫</dc:creator>
  <cp:lastModifiedBy>泡沫</cp:lastModifiedBy>
  <cp:lastPrinted>2021-10-25T06:42:00Z</cp:lastPrinted>
  <dcterms:modified xsi:type="dcterms:W3CDTF">2022-03-04T08:57:28Z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ICV">
    <vt:lpwstr>2780452AF6D246F091D27BC4017CC1CE</vt:lpwstr>
  </property>
</Properties>
</file>