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6"/>
        <w:bidi w:val="0"/>
        <w:rPr>
          <w:rFonts w:hint="eastAsia"/>
        </w:rPr>
      </w:pPr>
      <w:bookmarkStart w:id="0" w:name="标准封面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133985</wp:posOffset>
                </wp:positionV>
                <wp:extent cx="3960495" cy="914400"/>
                <wp:effectExtent l="0" t="0" r="1905" b="0"/>
                <wp:wrapNone/>
                <wp:docPr id="2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8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167.25pt;margin-top:10.55pt;height:72pt;width:311.85pt;z-index:251660288;mso-width-relative:page;mso-height-relative:page;" fillcolor="#FFFFFF [3201]" filled="t" stroked="f" coordsize="21600,21600" o:gfxdata="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Mo7HQ2gAAAAoBAAAPAAAAAAAAAAEAIAAAACIAAABkcnMvZG93bnJldi54bWxQSwECFAAUAAAA&#10;CACHTuJAPgwv5V4CAACLBAAADgAAAAAAAAABACAAAAAp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8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1800225" cy="720090"/>
                <wp:effectExtent l="0" t="0" r="9525" b="3810"/>
                <wp:wrapNone/>
                <wp:docPr id="1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ICS 65.020.20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CCS B 05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0pt;margin-top:2.05pt;height:56.7pt;width:141.75pt;z-index:251659264;mso-width-relative:page;mso-height-relative:page;" fillcolor="#FFFFFF [3201]" filled="t" stroked="f" coordsize="21600,21600" o:gfxdata="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2l9yp&#10;1wAAAAYBAAAPAAAAAAAAAAEAIAAAACIAAABkcnMvZG93bnJldi54bWxQSwECFAAUAAAACACHTuJA&#10;x+v8QVsCAACLBAAADgAAAAAAAAABACAAAAAm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ICS 65.020.20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CCS B 05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p>
      <w:pPr>
        <w:pStyle w:val="258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123825</wp:posOffset>
                </wp:positionV>
                <wp:extent cx="6120765" cy="648335"/>
                <wp:effectExtent l="0" t="0" r="13335" b="18415"/>
                <wp:wrapNone/>
                <wp:docPr id="3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9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团    体    标    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0pt;margin-top:9.75pt;height:51.05pt;width:481.95pt;z-index:251661312;mso-width-relative:page;mso-height-relative:page;" fillcolor="#FFFFFF [3201]" filled="t" stroked="f" coordsize="21600,21600" o:gfxdata="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8M&#10;41zXAAAABwEAAA8AAAAAAAAAAQAgAAAAIgAAAGRycy9kb3ducmV2LnhtbFBLAQIUABQAAAAIAIdO&#10;4kCZtHOyXQIAAIs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9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团    体    标    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284" w:right="851" w:bottom="1134" w:left="1418" w:header="284" w:footer="1134" w:gutter="0"/>
          <w:lnNumType w:countBy="0" w:restart="continuous"/>
          <w:pgNumType w:fmt="upperRoman" w:start="1"/>
          <w:cols w:space="425" w:num="1"/>
          <w:titlePg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4465955</wp:posOffset>
                </wp:positionH>
                <wp:positionV relativeFrom="page">
                  <wp:posOffset>9763760</wp:posOffset>
                </wp:positionV>
                <wp:extent cx="810895" cy="184150"/>
                <wp:effectExtent l="0" t="0" r="8255" b="6350"/>
                <wp:wrapNone/>
                <wp:docPr id="11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8" o:spid="_x0000_s1026" o:spt="202" type="#_x0000_t202" style="position:absolute;left:0pt;margin-left:351.65pt;margin-top:768.8pt;height:14.5pt;width:63.85pt;mso-position-horizontal-relative:page;mso-position-vertical-relative:page;mso-wrap-style:none;z-index:251669504;mso-width-relative:page;mso-height-relative:page;" fillcolor="#FFFFFF [3201]" filled="t" stroked="f" coordsize="21600,21600" o:gfxdata="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u1nI/bAAAA&#10;DQEAAA8AAAAAAAAAAQAgAAAAIgAAAGRycy9kb3ducmV2LnhtbFBLAQIUABQAAAAIAIdO4kBVvzk4&#10;UwIAAIYEAAAOAAAAAAAAAAEAIAAAACo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2464435</wp:posOffset>
                </wp:positionH>
                <wp:positionV relativeFrom="page">
                  <wp:posOffset>9738360</wp:posOffset>
                </wp:positionV>
                <wp:extent cx="2001520" cy="234950"/>
                <wp:effectExtent l="0" t="0" r="17780" b="12700"/>
                <wp:wrapNone/>
                <wp:docPr id="10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5"/>
                              <w:bidi w:val="0"/>
                              <w:jc w:val="distribute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7" o:spid="_x0000_s1026" o:spt="202" type="#_x0000_t202" style="position:absolute;left:0pt;margin-left:194.05pt;margin-top:766.8pt;height:18.5pt;width:157.6pt;mso-position-horizontal-relative:page;mso-position-vertical-relative:page;mso-wrap-style:none;z-index:251668480;mso-width-relative:page;mso-height-relative:page;" fillcolor="#FFFFFF [3201]" filled="t" stroked="f" coordsize="21600,21600" o:gfxdata="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nq+hTaAAAA&#10;DQEAAA8AAAAAAAAAAQAgAAAAIgAAAGRycy9kb3ducmV2LnhtbFBLAQIUABQAAAAIAIdO4kCOFAIn&#10;VAIAAIYEAAAOAAAAAAAAAAEAIAAAACk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5"/>
                        <w:bidi w:val="0"/>
                        <w:jc w:val="distribute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青海省农学会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7512050</wp:posOffset>
                </wp:positionV>
                <wp:extent cx="6121400" cy="635"/>
                <wp:effectExtent l="0" t="0" r="0" b="0"/>
                <wp:wrapNone/>
                <wp:docPr id="9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6" o:spid="_x0000_s1026" o:spt="20" style="position:absolute;left:0pt;margin-left:-0.9pt;margin-top:591.5pt;height:0.05pt;width:482pt;z-index:251667456;mso-width-relative:page;mso-height-relative:page;" filled="f" stroked="t" coordsize="21600,21600" o:gfxdata="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s&#10;Tfi72AAAAAwBAAAPAAAAAAAAAAEAIAAAACIAAABkcnMvZG93bnJldi54bWxQSwECFAAUAAAACACH&#10;TuJA6DNbnusBAAC1AwAADgAAAAAAAAABACAAAAAnAQAAZHJzL2Uyb0RvYy54bWxQSwUGAAAAAAYA&#10;BgBZAQAAhAUAAAAA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7159625</wp:posOffset>
                </wp:positionV>
                <wp:extent cx="2880360" cy="360045"/>
                <wp:effectExtent l="0" t="0" r="15240" b="1905"/>
                <wp:wrapNone/>
                <wp:docPr id="8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91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255.1pt;margin-top:563.75pt;height:28.35pt;width:226.8pt;z-index:251666432;mso-width-relative:page;mso-height-relative:page;" fillcolor="#FFFFFF [3201]" filled="t" stroked="f" coordsize="21600,21600" o:gfxdata="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H7TTKdwAAAANAQAADwAAAAAAAAABACAAAAAiAAAAZHJzL2Rvd25yZXYueG1sUEsBAhQAFAAA&#10;AAgAh07iQPdTAhJdAgAAiwQAAA4AAAAAAAAAAQAgAAAAKw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91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7159625</wp:posOffset>
                </wp:positionV>
                <wp:extent cx="2880360" cy="360045"/>
                <wp:effectExtent l="0" t="0" r="15240" b="1905"/>
                <wp:wrapNone/>
                <wp:docPr id="7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0pt;margin-top:563.75pt;height:28.35pt;width:226.8pt;z-index:251665408;mso-width-relative:page;mso-height-relative:page;" fillcolor="#FFFFFF [3201]" filled="t" stroked="f" coordsize="21600,21600" o:gfxdata="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BaWc7aAAAACgEAAA8AAAAAAAAAAQAgAAAAIgAAAGRycy9kb3ducmV2LnhtbFBLAQIUABQAAAAI&#10;AIdO4kDDvaVlXQIAAIsEAAAOAAAAAAAAAAEAIAAAACk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2406650</wp:posOffset>
                </wp:positionV>
                <wp:extent cx="6120765" cy="4320540"/>
                <wp:effectExtent l="0" t="0" r="13335" b="3810"/>
                <wp:wrapNone/>
                <wp:docPr id="6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8"/>
                              <w:bidi w:val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黄芪种苗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繁育及分级</w:t>
                            </w:r>
                          </w:p>
                          <w:p>
                            <w:pPr>
                              <w:pStyle w:val="271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报批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4" o:spid="_x0000_s1026" o:spt="202" type="#_x0000_t202" style="position:absolute;left:0pt;margin-left:0pt;margin-top:189.5pt;height:340.2pt;width:481.95pt;z-index:251664384;mso-width-relative:page;mso-height-relative:page;" fillcolor="#FFFFFF [3201]" filled="t" stroked="f" coordsize="21600,21600" o:gfxdata="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/w2k7NkAAAAJAQAADwAAAAAAAAABACAAAAAiAAAAZHJzL2Rvd25yZXYueG1sUEsBAhQAFAAA&#10;AAgAh07iQGEep25gAgAAjAQAAA4AAAAAAAAAAQAgAAAAKA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8"/>
                        <w:bidi w:val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黄芪种苗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繁育及分级</w:t>
                      </w:r>
                    </w:p>
                    <w:p>
                      <w:pPr>
                        <w:pStyle w:val="271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报批</w:t>
                      </w:r>
                      <w:r>
                        <w:rPr>
                          <w:rFonts w:hint="eastAsia"/>
                          <w:lang w:eastAsia="zh-CN"/>
                        </w:rPr>
                        <w:t>稿）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958850</wp:posOffset>
                </wp:positionV>
                <wp:extent cx="6121400" cy="635"/>
                <wp:effectExtent l="0" t="0" r="0" b="0"/>
                <wp:wrapNone/>
                <wp:docPr id="5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4" o:spid="_x0000_s1026" o:spt="20" style="position:absolute;left:0pt;margin-left:-0.9pt;margin-top:75.5pt;height:0.05pt;width:482pt;z-index:251663360;mso-width-relative:page;mso-height-relative:page;" filled="f" stroked="t" coordsize="21600,21600" o:gfxdata="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6j1s&#10;ztYAAAAKAQAADwAAAAAAAAABACAAAAAiAAAAZHJzL2Rvd25yZXYueG1sUEsBAhQAFAAAAAgAh07i&#10;QLj/lNLrAQAAtQMAAA4AAAAAAAAAAQAgAAAAJQEAAGRycy9lMm9Eb2MueG1sUEsFBgAAAAAGAAYA&#10;WQEAAIIFAAAAAA==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390525</wp:posOffset>
                </wp:positionV>
                <wp:extent cx="4320540" cy="720090"/>
                <wp:effectExtent l="0" t="0" r="3810" b="3810"/>
                <wp:wrapNone/>
                <wp:docPr id="4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5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 XXXX-2020</w:t>
                            </w:r>
                          </w:p>
                          <w:p>
                            <w:pPr>
                              <w:pStyle w:val="267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127.55pt;margin-top:30.75pt;height:56.7pt;width:340.2pt;z-index:251662336;mso-width-relative:page;mso-height-relative:page;" fillcolor="#FFFFFF [3201]" filled="t" stroked="f" coordsize="21600,21600" o:gfxdata="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cXoG22gAAAAoBAAAPAAAAAAAAAAEAIAAAACIAAABkcnMvZG93bnJldi54bWxQSwECFAAUAAAA&#10;CACHTuJATSP31F4CAACLBAAADgAAAAAAAAABACAAAAAp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5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 XXXX-2020</w:t>
                      </w:r>
                    </w:p>
                    <w:p>
                      <w:pPr>
                        <w:pStyle w:val="267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86"/>
        <w:bidi w:val="0"/>
        <w:jc w:val="center"/>
        <w:rPr>
          <w:rFonts w:hint="eastAsia"/>
          <w:lang w:eastAsia="zh-CN"/>
        </w:rPr>
      </w:pPr>
      <w:bookmarkStart w:id="1" w:name="标准目次"/>
      <w:bookmarkEnd w:id="1"/>
      <w:bookmarkStart w:id="2" w:name="_Toc14377"/>
      <w:r>
        <w:rPr>
          <w:rFonts w:hint="eastAsia"/>
          <w:lang w:eastAsia="zh-CN"/>
        </w:rPr>
        <w:t>目    次</w:t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begin"/>
      </w:r>
      <w:r>
        <w:rPr>
          <w:rFonts w:hint="eastAsia" w:ascii="宋体" w:hAnsi="宋体" w:eastAsia="宋体" w:cs="宋体"/>
          <w:b w:val="0"/>
          <w:sz w:val="21"/>
          <w:lang w:eastAsia="zh-CN"/>
        </w:rPr>
        <w:instrText xml:space="preserve">TOC \o "1-7" \h \z</w:instrText>
      </w: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separate"/>
      </w: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_Toc22994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/>
          <w:lang w:eastAsia="zh-CN"/>
        </w:rPr>
        <w:t>前    言</w:t>
      </w:r>
      <w:r>
        <w:tab/>
      </w:r>
      <w:r>
        <w:fldChar w:fldCharType="begin"/>
      </w:r>
      <w:r>
        <w:instrText xml:space="preserve"> PAGEREF _Toc22994 \h </w:instrText>
      </w:r>
      <w:r>
        <w:fldChar w:fldCharType="separate"/>
      </w:r>
      <w:r>
        <w:t>II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_Toc27454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1 </w:t>
      </w:r>
      <w:r>
        <w:rPr>
          <w:rFonts w:hint="eastAsia"/>
        </w:rPr>
        <w:t>范围</w:t>
      </w:r>
      <w:r>
        <w:tab/>
      </w:r>
      <w:r>
        <w:fldChar w:fldCharType="begin"/>
      </w:r>
      <w:r>
        <w:instrText xml:space="preserve"> PAGEREF _Toc27454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_Toc25809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2 </w:t>
      </w:r>
      <w:r>
        <w:rPr>
          <w:rFonts w:hint="eastAsia"/>
        </w:rPr>
        <w:t>规范性引用文件</w:t>
      </w:r>
      <w:r>
        <w:tab/>
      </w:r>
      <w:r>
        <w:fldChar w:fldCharType="begin"/>
      </w:r>
      <w:r>
        <w:instrText xml:space="preserve"> PAGEREF _Toc25809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_Toc4679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3 </w:t>
      </w:r>
      <w:r>
        <w:rPr>
          <w:rFonts w:hint="eastAsia"/>
        </w:rPr>
        <w:t>术语</w:t>
      </w:r>
      <w:r>
        <w:t>和定义</w:t>
      </w:r>
      <w:r>
        <w:tab/>
      </w:r>
      <w:r>
        <w:fldChar w:fldCharType="begin"/>
      </w:r>
      <w:r>
        <w:instrText xml:space="preserve"> PAGEREF _Toc4679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_Toc4163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4 </w:t>
      </w:r>
      <w:r>
        <w:rPr>
          <w:rFonts w:hint="eastAsia"/>
          <w:szCs w:val="22"/>
          <w:lang w:val="en-US" w:eastAsia="zh-CN"/>
        </w:rPr>
        <w:t>生产</w:t>
      </w:r>
      <w:r>
        <w:rPr>
          <w:rFonts w:hint="eastAsia"/>
          <w:szCs w:val="22"/>
          <w:lang w:eastAsia="zh-CN"/>
        </w:rPr>
        <w:t>条件</w:t>
      </w:r>
      <w:r>
        <w:tab/>
      </w:r>
      <w:r>
        <w:fldChar w:fldCharType="begin"/>
      </w:r>
      <w:r>
        <w:instrText xml:space="preserve"> PAGEREF _Toc4163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_Toc17507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5 </w:t>
      </w:r>
      <w:r>
        <w:rPr>
          <w:rFonts w:hint="eastAsia"/>
          <w:lang w:val="en-US" w:eastAsia="zh-CN"/>
        </w:rPr>
        <w:t>地块选择</w:t>
      </w:r>
      <w:r>
        <w:tab/>
      </w:r>
      <w:r>
        <w:fldChar w:fldCharType="begin"/>
      </w:r>
      <w:r>
        <w:instrText xml:space="preserve"> PAGEREF _Toc17507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_Toc6712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6 </w:t>
      </w:r>
      <w:r>
        <w:rPr>
          <w:rFonts w:hint="eastAsia"/>
          <w:lang w:val="en-US" w:eastAsia="zh-CN"/>
        </w:rPr>
        <w:t>播种</w:t>
      </w:r>
      <w:r>
        <w:tab/>
      </w:r>
      <w:r>
        <w:fldChar w:fldCharType="begin"/>
      </w:r>
      <w:r>
        <w:instrText xml:space="preserve"> PAGEREF _Toc6712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_Toc3279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eastAsia="zh-CN"/>
        </w:rPr>
        <w:t xml:space="preserve">7 </w:t>
      </w:r>
      <w:r>
        <w:rPr>
          <w:rFonts w:hint="eastAsia"/>
          <w:szCs w:val="22"/>
          <w:lang w:eastAsia="zh-CN"/>
        </w:rPr>
        <w:t>田间管理</w:t>
      </w:r>
      <w:r>
        <w:tab/>
      </w:r>
      <w:r>
        <w:fldChar w:fldCharType="begin"/>
      </w:r>
      <w:r>
        <w:instrText xml:space="preserve"> PAGEREF _Toc3279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_Toc14515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8 </w:t>
      </w:r>
      <w:r>
        <w:rPr>
          <w:rFonts w:hint="eastAsia"/>
          <w:lang w:val="en-US" w:eastAsia="zh-CN"/>
        </w:rPr>
        <w:t>有害生物防治</w:t>
      </w:r>
      <w:r>
        <w:tab/>
      </w:r>
      <w:r>
        <w:fldChar w:fldCharType="begin"/>
      </w:r>
      <w:r>
        <w:instrText xml:space="preserve"> PAGEREF _Toc14515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_Toc19000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9 </w:t>
      </w:r>
      <w:r>
        <w:rPr>
          <w:rFonts w:hint="eastAsia"/>
          <w:lang w:val="en-US" w:eastAsia="zh-CN"/>
        </w:rPr>
        <w:t>起苗与分级</w:t>
      </w:r>
      <w:r>
        <w:tab/>
      </w:r>
      <w:r>
        <w:fldChar w:fldCharType="begin"/>
      </w:r>
      <w:r>
        <w:instrText xml:space="preserve"> PAGEREF _Toc19000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_Toc13702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10 </w:t>
      </w:r>
      <w:r>
        <w:rPr>
          <w:rFonts w:hint="eastAsia"/>
          <w:szCs w:val="22"/>
          <w:lang w:val="en-US" w:eastAsia="zh-CN"/>
        </w:rPr>
        <w:t>贮藏</w:t>
      </w:r>
      <w:r>
        <w:tab/>
      </w:r>
      <w:r>
        <w:fldChar w:fldCharType="begin"/>
      </w:r>
      <w:r>
        <w:instrText xml:space="preserve"> PAGEREF _Toc13702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_Toc13752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11 </w:t>
      </w:r>
      <w:r>
        <w:rPr>
          <w:rFonts w:hint="eastAsia"/>
          <w:szCs w:val="22"/>
          <w:lang w:val="en-US" w:eastAsia="zh-CN"/>
        </w:rPr>
        <w:t>包装、运输</w:t>
      </w:r>
      <w:r>
        <w:tab/>
      </w:r>
      <w:r>
        <w:fldChar w:fldCharType="begin"/>
      </w:r>
      <w:r>
        <w:instrText xml:space="preserve"> PAGEREF _Toc13752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_Toc18884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pacing w:val="0"/>
          <w:w w:val="100"/>
          <w:lang w:eastAsia="zh-CN"/>
        </w:rPr>
        <w:t xml:space="preserve">附　录　A </w:t>
      </w:r>
      <w:r>
        <w:rPr>
          <w:rFonts w:hint="eastAsia"/>
          <w:lang w:eastAsia="zh-CN"/>
        </w:rPr>
        <w:t xml:space="preserve"> （资料性） 主要有害生物防治常用药剂和方法</w:t>
      </w:r>
      <w:r>
        <w:tab/>
      </w:r>
      <w:r>
        <w:fldChar w:fldCharType="begin"/>
      </w:r>
      <w:r>
        <w:instrText xml:space="preserve"> PAGEREF _Toc18884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_Toc32488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/>
          <w:lang w:eastAsia="zh-CN"/>
        </w:rPr>
        <w:t>参  考  文  献</w:t>
      </w:r>
      <w:r>
        <w:tab/>
      </w:r>
      <w:r>
        <w:fldChar w:fldCharType="begin"/>
      </w:r>
      <w:r>
        <w:instrText xml:space="preserve"> PAGEREF _Toc32488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sz w:val="2"/>
          <w:lang w:eastAsia="zh-CN"/>
        </w:rPr>
        <w:sectPr>
          <w:headerReference r:id="rId10" w:type="first"/>
          <w:headerReference r:id="rId9" w:type="default"/>
          <w:footerReference r:id="rId11" w:type="default"/>
          <w:pgSz w:w="11907" w:h="16839"/>
          <w:pgMar w:top="1418" w:right="1134" w:bottom="1134" w:left="1418" w:header="1418" w:footer="1134" w:gutter="0"/>
          <w:lnNumType w:countBy="0" w:restart="continuous"/>
          <w:pgNumType w:fmt="upperRoman" w:start="1"/>
          <w:cols w:space="425" w:num="1"/>
          <w:rtlGutter w:val="0"/>
          <w:docGrid w:linePitch="312" w:charSpace="0"/>
        </w:sectPr>
      </w:pPr>
    </w:p>
    <w:p>
      <w:pPr>
        <w:pStyle w:val="256"/>
        <w:bidi w:val="0"/>
        <w:rPr>
          <w:rFonts w:hint="eastAsia"/>
          <w:lang w:eastAsia="zh-CN"/>
        </w:rPr>
      </w:pPr>
      <w:bookmarkStart w:id="3" w:name="标准前言"/>
      <w:bookmarkEnd w:id="3"/>
      <w:bookmarkStart w:id="4" w:name="_Toc26624"/>
      <w:bookmarkStart w:id="5" w:name="_Toc22994"/>
      <w:r>
        <w:rPr>
          <w:rFonts w:hint="eastAsia"/>
          <w:lang w:eastAsia="zh-CN"/>
        </w:rPr>
        <w:t>前    言</w:t>
      </w:r>
      <w:bookmarkEnd w:id="2"/>
      <w:bookmarkEnd w:id="4"/>
      <w:bookmarkEnd w:id="5"/>
    </w:p>
    <w:p>
      <w:pPr>
        <w:pStyle w:val="258"/>
        <w:tabs>
          <w:tab w:val="center" w:pos="4201"/>
          <w:tab w:val="right" w:leader="dot" w:pos="9298"/>
        </w:tabs>
        <w:rPr>
          <w:rFonts w:hint="eastAsia"/>
        </w:rPr>
      </w:pPr>
      <w:r>
        <w:rPr>
          <w:rFonts w:hint="eastAsia"/>
          <w:lang w:eastAsia="zh-CN"/>
        </w:rPr>
        <w:t>本文件依据</w:t>
      </w:r>
      <w:r>
        <w:t>GB/T</w:t>
      </w:r>
      <w:r>
        <w:rPr>
          <w:rFonts w:hint="eastAsia"/>
        </w:rPr>
        <w:t xml:space="preserve"> </w:t>
      </w:r>
      <w:r>
        <w:t>1.1-20</w:t>
      </w:r>
      <w:r>
        <w:rPr>
          <w:rFonts w:hint="eastAsia"/>
          <w:lang w:val="en-US" w:eastAsia="zh-CN"/>
        </w:rPr>
        <w:t>20《标准化工作导则 第1部分：标准化文件的结构和起草规则》</w:t>
      </w:r>
      <w:r>
        <w:rPr>
          <w:rFonts w:hint="eastAsia"/>
        </w:rPr>
        <w:t>的</w:t>
      </w:r>
      <w:r>
        <w:rPr>
          <w:rFonts w:hint="eastAsia"/>
          <w:lang w:eastAsia="zh-CN"/>
        </w:rPr>
        <w:t>规定起草</w:t>
      </w:r>
      <w:r>
        <w:rPr>
          <w:rFonts w:hint="eastAsia"/>
        </w:rPr>
        <w:t>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本文件由青海省农学会归口。</w:t>
      </w:r>
    </w:p>
    <w:p>
      <w:pPr>
        <w:pStyle w:val="258"/>
        <w:bidi w:val="0"/>
        <w:rPr>
          <w:rFonts w:hint="eastAsia" w:hAnsi="Times New Roman" w:cs="Times New Roman"/>
          <w:szCs w:val="22"/>
          <w:lang w:val="en-US" w:eastAsia="zh-CN"/>
        </w:rPr>
      </w:pPr>
      <w:r>
        <w:rPr>
          <w:rFonts w:hint="eastAsia" w:hAnsi="Times New Roman" w:cs="Times New Roman"/>
          <w:szCs w:val="22"/>
          <w:lang w:val="en-US" w:eastAsia="zh-CN"/>
        </w:rPr>
        <w:t>本</w:t>
      </w:r>
      <w:r>
        <w:rPr>
          <w:rFonts w:hint="eastAsia" w:cs="Times New Roman"/>
          <w:szCs w:val="22"/>
          <w:lang w:val="en-US" w:eastAsia="zh-CN"/>
        </w:rPr>
        <w:t>文件</w:t>
      </w:r>
      <w:r>
        <w:rPr>
          <w:rFonts w:hint="eastAsia" w:hAnsi="Times New Roman" w:cs="Times New Roman"/>
          <w:szCs w:val="22"/>
          <w:lang w:val="en-US" w:eastAsia="zh-CN"/>
        </w:rPr>
        <w:t>起草单位:青海互丰农业科技集团有限公司、互助县农产品质量检测中心</w:t>
      </w:r>
      <w:r>
        <w:rPr>
          <w:rFonts w:hint="eastAsia" w:cs="Times New Roman"/>
          <w:szCs w:val="22"/>
          <w:lang w:val="en-US" w:eastAsia="zh-CN"/>
        </w:rPr>
        <w:t>、</w:t>
      </w:r>
      <w:r>
        <w:rPr>
          <w:rFonts w:hint="eastAsia" w:hAnsi="Times New Roman" w:cs="Times New Roman"/>
          <w:szCs w:val="22"/>
          <w:lang w:val="en-US" w:eastAsia="zh-CN"/>
        </w:rPr>
        <w:t>青海省农业项目指导服务中心、</w:t>
      </w:r>
      <w:r>
        <w:rPr>
          <w:rFonts w:hint="eastAsia" w:cs="Times New Roman"/>
          <w:szCs w:val="22"/>
          <w:lang w:val="en-US" w:eastAsia="zh-CN"/>
        </w:rPr>
        <w:t>互助县农业技术推广中心、青海省农作物种子站。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 w:hAnsi="Times New Roman" w:cs="Times New Roman"/>
          <w:szCs w:val="22"/>
          <w:lang w:val="en-US" w:eastAsia="zh-CN"/>
        </w:rPr>
      </w:pPr>
      <w:r>
        <w:rPr>
          <w:rFonts w:hint="eastAsia" w:hAnsi="Times New Roman" w:cs="Times New Roman"/>
          <w:szCs w:val="22"/>
          <w:lang w:val="en-US" w:eastAsia="zh-CN"/>
        </w:rPr>
        <w:t>本</w:t>
      </w:r>
      <w:r>
        <w:rPr>
          <w:rFonts w:hint="eastAsia" w:cs="Times New Roman"/>
          <w:szCs w:val="22"/>
          <w:lang w:val="en-US" w:eastAsia="zh-CN"/>
        </w:rPr>
        <w:t>文件</w:t>
      </w:r>
      <w:r>
        <w:rPr>
          <w:rFonts w:hint="eastAsia" w:hAnsi="Times New Roman" w:cs="Times New Roman"/>
          <w:szCs w:val="22"/>
          <w:lang w:val="en-US" w:eastAsia="zh-CN"/>
        </w:rPr>
        <w:t>主要起草人：贺连珍、贺子腾、蔡有华、李长满、朵学玲、刘海棠、胡生隆、贺生平、严文善、王宗昌、李俊仁、哈学才、韩文婷、赵厚祯、温玉存、</w:t>
      </w:r>
      <w:r>
        <w:rPr>
          <w:rFonts w:hint="eastAsia" w:cs="Times New Roman"/>
          <w:szCs w:val="22"/>
          <w:lang w:val="en-US" w:eastAsia="zh-CN"/>
        </w:rPr>
        <w:t>席田花、</w:t>
      </w:r>
      <w:r>
        <w:rPr>
          <w:rFonts w:hint="eastAsia" w:hAnsi="Times New Roman" w:cs="Times New Roman"/>
          <w:szCs w:val="22"/>
          <w:lang w:val="en-US" w:eastAsia="zh-CN"/>
        </w:rPr>
        <w:t>张印臣。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本文件由青海省农学会实施。</w:t>
      </w:r>
    </w:p>
    <w:p>
      <w:pPr>
        <w:pStyle w:val="258"/>
        <w:bidi w:val="0"/>
        <w:rPr>
          <w:rFonts w:hint="eastAsia"/>
          <w:lang w:eastAsia="zh-CN"/>
        </w:rPr>
      </w:pPr>
    </w:p>
    <w:p>
      <w:pPr>
        <w:pStyle w:val="258"/>
        <w:bidi w:val="0"/>
        <w:rPr>
          <w:rFonts w:hint="eastAsia"/>
          <w:lang w:eastAsia="zh-CN"/>
        </w:rPr>
        <w:sectPr>
          <w:pgSz w:w="11907" w:h="16839"/>
          <w:pgMar w:top="1418" w:right="1134" w:bottom="1134" w:left="1418" w:header="1418" w:footer="1134" w:gutter="0"/>
          <w:lnNumType w:countBy="0" w:restart="continuous"/>
          <w:pgNumType w:fmt="upperRoman"/>
          <w:cols w:space="425" w:num="1"/>
          <w:rtlGutter w:val="0"/>
          <w:docGrid w:linePitch="312" w:charSpace="0"/>
        </w:sectPr>
      </w:pPr>
    </w:p>
    <w:p>
      <w:pPr>
        <w:pStyle w:val="316"/>
        <w:bidi w:val="0"/>
        <w:rPr>
          <w:rFonts w:hint="default"/>
          <w:lang w:val="en-US" w:eastAsia="zh-CN"/>
        </w:rPr>
      </w:pPr>
      <w:bookmarkStart w:id="6" w:name="标准内容"/>
      <w:bookmarkEnd w:id="6"/>
      <w:r>
        <w:rPr>
          <w:rFonts w:hint="eastAsia"/>
          <w:lang w:eastAsia="zh-CN"/>
        </w:rPr>
        <w:t>黄芪种苗</w:t>
      </w:r>
      <w:r>
        <w:rPr>
          <w:rFonts w:hint="eastAsia"/>
          <w:lang w:val="en-US" w:eastAsia="zh-CN"/>
        </w:rPr>
        <w:t>繁育及分级</w:t>
      </w:r>
    </w:p>
    <w:p>
      <w:pPr>
        <w:pStyle w:val="259"/>
        <w:numPr>
          <w:ilvl w:val="0"/>
          <w:numId w:val="11"/>
        </w:numPr>
      </w:pPr>
      <w:bookmarkStart w:id="7" w:name="_Toc27454"/>
      <w:bookmarkStart w:id="8" w:name="_Toc23450"/>
      <w:bookmarkStart w:id="9" w:name="_Toc31628"/>
      <w:r>
        <w:rPr>
          <w:rFonts w:hint="eastAsia"/>
        </w:rPr>
        <w:t>范围</w:t>
      </w:r>
      <w:bookmarkEnd w:id="7"/>
      <w:bookmarkEnd w:id="8"/>
      <w:bookmarkEnd w:id="9"/>
    </w:p>
    <w:p>
      <w:pPr>
        <w:pStyle w:val="258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规定了黄芪种苗</w:t>
      </w:r>
      <w:r>
        <w:rPr>
          <w:rFonts w:hint="eastAsia"/>
          <w:lang w:val="en-US" w:eastAsia="zh-CN"/>
        </w:rPr>
        <w:t xml:space="preserve">的术语和定义、种苗繁育时所需生产条件、地块选择、播种、田间管理、有害生物防治、起苗与分级、贮藏、包装和运输等的技术要求。 </w:t>
      </w:r>
    </w:p>
    <w:p>
      <w:pPr>
        <w:pStyle w:val="258"/>
        <w:rPr>
          <w:rFonts w:hint="eastAsia" w:eastAsia="宋体"/>
          <w:lang w:eastAsia="zh-CN"/>
        </w:rPr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适用于</w:t>
      </w:r>
      <w:r>
        <w:rPr>
          <w:rFonts w:hint="eastAsia"/>
          <w:lang w:eastAsia="zh-CN"/>
        </w:rPr>
        <w:t>青海省</w:t>
      </w:r>
      <w:r>
        <w:rPr>
          <w:rFonts w:hint="eastAsia"/>
        </w:rPr>
        <w:t>黄芪种苗的</w:t>
      </w:r>
      <w:r>
        <w:rPr>
          <w:rFonts w:hint="eastAsia"/>
          <w:lang w:val="en-US" w:eastAsia="zh-CN"/>
        </w:rPr>
        <w:t>繁育和</w:t>
      </w:r>
      <w:r>
        <w:rPr>
          <w:rFonts w:hint="eastAsia"/>
          <w:lang w:eastAsia="zh-CN"/>
        </w:rPr>
        <w:t>分级。</w:t>
      </w:r>
    </w:p>
    <w:p>
      <w:pPr>
        <w:pStyle w:val="259"/>
        <w:numPr>
          <w:ilvl w:val="0"/>
          <w:numId w:val="11"/>
        </w:numPr>
      </w:pPr>
      <w:bookmarkStart w:id="10" w:name="_Toc25809"/>
      <w:bookmarkStart w:id="11" w:name="_Toc10062"/>
      <w:bookmarkStart w:id="12" w:name="_Toc15037"/>
      <w:r>
        <w:rPr>
          <w:rFonts w:hint="eastAsia"/>
        </w:rPr>
        <w:t>规范性引用文件</w:t>
      </w:r>
      <w:bookmarkEnd w:id="10"/>
      <w:bookmarkEnd w:id="11"/>
      <w:bookmarkEnd w:id="12"/>
    </w:p>
    <w:p>
      <w:pPr>
        <w:pStyle w:val="258"/>
        <w:ind w:firstLine="420"/>
        <w:rPr>
          <w:rFonts w:hint="eastAsia"/>
        </w:rPr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3095 环境空气质量标准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5084 农田灌溉水质标准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GB/T 10205 磷酸一铵、磷酸二铵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15618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土壤环境质量标准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 w:cs="Times New Roman"/>
          <w:sz w:val="21"/>
          <w:szCs w:val="21"/>
          <w:lang w:val="en-US" w:eastAsia="zh-CN" w:bidi="ar-S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GB/T 20406 农业用硫酸钾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 w:cs="Times New Roman"/>
          <w:sz w:val="21"/>
          <w:szCs w:val="21"/>
          <w:lang w:val="en-US" w:eastAsia="zh-CN" w:bidi="ar-S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NY/T 525 有机肥料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  <w:lang w:eastAsia="zh-CN"/>
        </w:rPr>
        <w:t>NY/T 1276</w:t>
      </w:r>
      <w:r>
        <w:rPr>
          <w:rFonts w:hint="eastAsia"/>
          <w:szCs w:val="22"/>
          <w:lang w:val="en-US" w:eastAsia="zh-CN"/>
        </w:rPr>
        <w:t xml:space="preserve"> </w:t>
      </w:r>
      <w:r>
        <w:rPr>
          <w:rFonts w:hint="eastAsia"/>
          <w:szCs w:val="22"/>
        </w:rPr>
        <w:t>农药安全使用规范总则</w:t>
      </w:r>
    </w:p>
    <w:p>
      <w:pPr>
        <w:pStyle w:val="258"/>
        <w:ind w:firstLine="420"/>
        <w:rPr>
          <w:rFonts w:hint="default" w:cs="Times New Roman"/>
          <w:sz w:val="21"/>
          <w:szCs w:val="21"/>
          <w:lang w:val="en-US" w:eastAsia="zh-CN" w:bidi="ar-SA"/>
        </w:rPr>
      </w:pPr>
      <w:r>
        <w:rPr>
          <w:rFonts w:hint="eastAsia"/>
          <w:szCs w:val="22"/>
          <w:lang w:eastAsia="zh-CN"/>
        </w:rPr>
        <w:t>NY/T 1</w:t>
      </w:r>
      <w:r>
        <w:rPr>
          <w:rFonts w:hint="eastAsia"/>
          <w:szCs w:val="22"/>
          <w:lang w:val="en-US" w:eastAsia="zh-CN"/>
        </w:rPr>
        <w:t xml:space="preserve">905 </w:t>
      </w:r>
      <w:r>
        <w:rPr>
          <w:rFonts w:hint="eastAsia"/>
          <w:szCs w:val="22"/>
        </w:rPr>
        <w:t>草原鼠害安全防治技术规范</w:t>
      </w:r>
      <w:r>
        <w:rPr>
          <w:rFonts w:hint="eastAsia"/>
          <w:szCs w:val="22"/>
          <w:lang w:val="en-US" w:eastAsia="zh-CN"/>
        </w:rPr>
        <w:t>执行</w:t>
      </w:r>
    </w:p>
    <w:p>
      <w:pPr>
        <w:pStyle w:val="259"/>
        <w:numPr>
          <w:ilvl w:val="0"/>
          <w:numId w:val="11"/>
        </w:numPr>
      </w:pPr>
      <w:bookmarkStart w:id="13" w:name="_Toc4679"/>
      <w:bookmarkStart w:id="14" w:name="_Toc16417"/>
      <w:bookmarkStart w:id="15" w:name="_Toc17611"/>
      <w:r>
        <w:rPr>
          <w:rFonts w:hint="eastAsia"/>
        </w:rPr>
        <w:t>术语</w:t>
      </w:r>
      <w:r>
        <w:t>和定义</w:t>
      </w:r>
      <w:bookmarkEnd w:id="13"/>
      <w:bookmarkEnd w:id="14"/>
      <w:bookmarkEnd w:id="15"/>
    </w:p>
    <w:p>
      <w:pPr>
        <w:pStyle w:val="258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下列术语和定义适用于本文件。</w:t>
      </w:r>
    </w:p>
    <w:p>
      <w:pPr>
        <w:pStyle w:val="324"/>
        <w:bidi w:val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  黄芪（</w:t>
      </w:r>
      <w:r>
        <w:rPr>
          <w:rFonts w:hint="eastAsia"/>
          <w:i/>
          <w:iCs/>
          <w:lang w:val="en-US" w:eastAsia="zh-CN"/>
        </w:rPr>
        <w:t>Astragalus mongholicus</w:t>
      </w:r>
      <w:r>
        <w:rPr>
          <w:rFonts w:hint="default"/>
          <w:i/>
          <w:iCs/>
          <w:lang w:val="en-US" w:eastAsia="zh-CN"/>
        </w:rPr>
        <w:t> Bunge</w:t>
      </w:r>
      <w:r>
        <w:rPr>
          <w:rFonts w:hint="eastAsia"/>
          <w:lang w:val="en-US" w:eastAsia="zh-CN"/>
        </w:rPr>
        <w:t>）</w:t>
      </w:r>
    </w:p>
    <w:p>
      <w:pPr>
        <w:pStyle w:val="258"/>
        <w:bidi w:val="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豆科黄耆属植物，多年生草本，高50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cm～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80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cm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。主根深长而粗壮。茎直立，上部多分枝，被长柔毛。单数羽状复叶互生；小叶12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对～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18对。总状花序腋生，具花10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朵～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25朵，排列疏松；苞片线状披针形；小花梗被黑色硬毛。荚果膜质，膨胀，卵状长圆形，长1.1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cm～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1.5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cm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。种子5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粒～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6粒，黑色、肾形。花期6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月～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7月</w:t>
      </w:r>
      <w:r>
        <w:rPr>
          <w:rFonts w:hint="eastAsia" w:cs="Times New Roman"/>
          <w:kern w:val="0"/>
          <w:sz w:val="21"/>
          <w:szCs w:val="22"/>
          <w:lang w:val="en-US" w:eastAsia="zh-CN" w:bidi="ar-SA"/>
        </w:rPr>
        <w:t>，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果期8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月～</w:t>
      </w:r>
      <w:r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  <w:t>9月。</w:t>
      </w:r>
    </w:p>
    <w:p>
      <w:pPr>
        <w:pStyle w:val="324"/>
        <w:bidi w:val="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/>
          <w:lang w:val="en-US" w:eastAsia="zh-CN"/>
        </w:rPr>
        <w:t xml:space="preserve">种苗 </w:t>
      </w:r>
    </w:p>
    <w:p>
      <w:pPr>
        <w:pStyle w:val="324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由种子播种繁育而成的一年生健壮</w:t>
      </w:r>
      <w:r>
        <w:rPr>
          <w:rFonts w:hint="eastAsia" w:ascii="宋体" w:eastAsia="宋体" w:cs="Times New Roman"/>
          <w:kern w:val="0"/>
          <w:sz w:val="21"/>
          <w:szCs w:val="22"/>
          <w:lang w:val="en-US" w:eastAsia="zh-CN" w:bidi="ar-SA"/>
        </w:rPr>
        <w:t>根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。</w:t>
      </w:r>
    </w:p>
    <w:p>
      <w:pPr>
        <w:pStyle w:val="324"/>
        <w:bidi w:val="0"/>
        <w:rPr>
          <w:rFonts w:hint="eastAsia"/>
          <w:lang w:val="en-US" w:eastAsia="zh-CN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根长</w:t>
      </w:r>
    </w:p>
    <w:p>
      <w:pPr>
        <w:pStyle w:val="324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种苗芦头至主根最末端的长度。</w:t>
      </w:r>
    </w:p>
    <w:p>
      <w:pPr>
        <w:pStyle w:val="324"/>
        <w:bidi w:val="0"/>
        <w:rPr>
          <w:rFonts w:hint="eastAsia"/>
          <w:lang w:val="en-US" w:eastAsia="zh-CN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根径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种苗主根部最粗处的直径。</w:t>
      </w:r>
    </w:p>
    <w:p>
      <w:pPr>
        <w:pStyle w:val="324"/>
        <w:bidi w:val="0"/>
        <w:rPr>
          <w:rFonts w:hint="eastAsia"/>
          <w:lang w:val="en-US" w:eastAsia="zh-CN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根鲜重</w:t>
      </w:r>
    </w:p>
    <w:p>
      <w:pPr>
        <w:pStyle w:val="324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黄芪种苗采挖后洗净泥土未脱水前的</w:t>
      </w:r>
      <w:r>
        <w:rPr>
          <w:rFonts w:hint="eastAsia" w:ascii="宋体" w:eastAsia="宋体" w:cs="Times New Roman"/>
          <w:kern w:val="0"/>
          <w:sz w:val="21"/>
          <w:szCs w:val="22"/>
          <w:lang w:val="en-US" w:eastAsia="zh-CN" w:bidi="ar-SA"/>
        </w:rPr>
        <w:t>根部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重量。</w:t>
      </w:r>
    </w:p>
    <w:p>
      <w:pPr>
        <w:pStyle w:val="324"/>
        <w:bidi w:val="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/>
          <w:lang w:val="en-US" w:eastAsia="zh-CN"/>
        </w:rPr>
        <w:t>侧根数</w:t>
      </w:r>
    </w:p>
    <w:p>
      <w:pPr>
        <w:pStyle w:val="324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侧根数指种苗主根生长出的侧根，仅统计直径大于0.2cm 的侧根数。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16" w:name="_Toc2555"/>
      <w:bookmarkStart w:id="17" w:name="_Toc20024"/>
      <w:bookmarkStart w:id="18" w:name="_Toc7101"/>
      <w:bookmarkStart w:id="19" w:name="_Toc20876"/>
      <w:bookmarkStart w:id="20" w:name="_Toc7697"/>
      <w:bookmarkStart w:id="21" w:name="_Toc4163"/>
      <w:r>
        <w:rPr>
          <w:rFonts w:hint="eastAsia"/>
          <w:szCs w:val="22"/>
          <w:lang w:val="en-US" w:eastAsia="zh-CN"/>
        </w:rPr>
        <w:t>生产</w:t>
      </w:r>
      <w:r>
        <w:rPr>
          <w:rFonts w:hint="eastAsia"/>
          <w:szCs w:val="22"/>
          <w:lang w:eastAsia="zh-CN"/>
        </w:rPr>
        <w:t>条件</w:t>
      </w:r>
      <w:bookmarkEnd w:id="16"/>
      <w:bookmarkEnd w:id="17"/>
      <w:bookmarkEnd w:id="18"/>
      <w:bookmarkEnd w:id="19"/>
      <w:bookmarkEnd w:id="20"/>
      <w:bookmarkEnd w:id="21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环境条件</w:t>
      </w:r>
    </w:p>
    <w:p>
      <w:pPr>
        <w:pStyle w:val="8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420" w:firstLineChars="200"/>
        <w:textAlignment w:val="auto"/>
        <w:outlineLvl w:val="9"/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sz w:val="21"/>
          <w:szCs w:val="21"/>
          <w:lang w:val="en-US" w:eastAsia="zh-CN" w:bidi="ar-SA"/>
        </w:rPr>
        <w:t>环境空气</w:t>
      </w:r>
      <w:r>
        <w:rPr>
          <w:rFonts w:hint="eastAsia" w:ascii="宋体" w:cs="Times New Roman"/>
          <w:sz w:val="21"/>
          <w:szCs w:val="21"/>
          <w:lang w:val="en-US" w:eastAsia="zh-CN" w:bidi="ar-SA"/>
        </w:rPr>
        <w:t>应</w:t>
      </w:r>
      <w:r>
        <w:rPr>
          <w:rFonts w:hint="eastAsia" w:ascii="宋体" w:hAnsi="Times New Roman" w:eastAsia="宋体" w:cs="Times New Roman"/>
          <w:sz w:val="21"/>
          <w:szCs w:val="21"/>
          <w:lang w:val="en-US" w:eastAsia="zh-CN" w:bidi="ar-SA"/>
        </w:rPr>
        <w:t>达到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GB 3095 二级以上标准，灌溉水</w:t>
      </w:r>
      <w:r>
        <w:rPr>
          <w:rFonts w:hint="eastAsia" w:ascii="宋体" w:cs="Times New Roman"/>
          <w:sz w:val="21"/>
          <w:szCs w:val="22"/>
          <w:lang w:val="en-US" w:eastAsia="zh-CN" w:bidi="ar-SA"/>
        </w:rPr>
        <w:t>应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达到GB 5084二级以上标准，土壤环境</w:t>
      </w:r>
      <w:r>
        <w:rPr>
          <w:rFonts w:hint="eastAsia" w:ascii="宋体" w:cs="Times New Roman"/>
          <w:sz w:val="21"/>
          <w:szCs w:val="22"/>
          <w:lang w:val="en-US" w:eastAsia="zh-CN" w:bidi="ar-SA"/>
        </w:rPr>
        <w:t>应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达到GB 15618二级以上标准。</w:t>
      </w:r>
    </w:p>
    <w:p>
      <w:pPr>
        <w:pStyle w:val="260"/>
        <w:bidi w:val="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/>
          <w:lang w:val="en-US" w:eastAsia="zh-CN"/>
        </w:rPr>
        <w:t>气候条件</w:t>
      </w:r>
    </w:p>
    <w:p>
      <w:pPr>
        <w:pStyle w:val="258"/>
        <w:bidi w:val="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选择海拔1700m～2500m的地区，年降雨量350mm～600mm，年平均气温2.5℃～8.5℃，日照时数2282h～2670h ，无霜期100d～190d。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22" w:name="_Toc17507"/>
      <w:r>
        <w:rPr>
          <w:rFonts w:hint="eastAsia"/>
          <w:lang w:val="en-US" w:eastAsia="zh-CN"/>
        </w:rPr>
        <w:t>地块选择</w:t>
      </w:r>
      <w:bookmarkEnd w:id="22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选地</w:t>
      </w:r>
    </w:p>
    <w:p>
      <w:pPr>
        <w:pStyle w:val="258"/>
        <w:rPr>
          <w:rFonts w:hint="default" w:ascii="宋体" w:hAnsi="Times New Roman" w:eastAsia="宋体" w:cs="Times New Roman"/>
          <w:sz w:val="21"/>
          <w:szCs w:val="21"/>
          <w:lang w:val="en-US" w:eastAsia="zh-CN" w:bidi="ar-SA"/>
        </w:rPr>
      </w:pPr>
      <w:r>
        <w:rPr>
          <w:rFonts w:hint="eastAsia" w:ascii="宋体" w:hAnsi="Times New Roman" w:eastAsia="宋体" w:cs="Times New Roman"/>
          <w:sz w:val="21"/>
          <w:szCs w:val="21"/>
          <w:lang w:val="zh-CN" w:eastAsia="zh-CN" w:bidi="ar-SA"/>
        </w:rPr>
        <w:t>选择土层深厚、疏松、排水良好、</w:t>
      </w:r>
      <w:r>
        <w:rPr>
          <w:rFonts w:hint="eastAsia" w:cs="Times New Roman"/>
          <w:sz w:val="21"/>
          <w:szCs w:val="21"/>
          <w:lang w:val="en-US" w:eastAsia="zh-CN" w:bidi="ar-SA"/>
        </w:rPr>
        <w:t>前茬未种植豆科作物的</w:t>
      </w:r>
      <w:r>
        <w:rPr>
          <w:rFonts w:hint="eastAsia" w:ascii="宋体" w:hAnsi="Times New Roman" w:eastAsia="宋体" w:cs="Times New Roman"/>
          <w:sz w:val="21"/>
          <w:szCs w:val="21"/>
          <w:lang w:val="zh-CN" w:eastAsia="zh-CN" w:bidi="ar-SA"/>
        </w:rPr>
        <w:t>中性或碱性</w:t>
      </w:r>
      <w:r>
        <w:rPr>
          <w:rFonts w:hint="eastAsia" w:cs="Times New Roman"/>
          <w:sz w:val="21"/>
          <w:szCs w:val="21"/>
          <w:lang w:val="zh-CN" w:eastAsia="zh-CN" w:bidi="ar-SA"/>
        </w:rPr>
        <w:t>砂</w:t>
      </w:r>
      <w:r>
        <w:rPr>
          <w:rFonts w:hint="eastAsia" w:ascii="宋体" w:hAnsi="Times New Roman" w:eastAsia="宋体" w:cs="Times New Roman"/>
          <w:sz w:val="21"/>
          <w:szCs w:val="21"/>
          <w:lang w:val="zh-CN" w:eastAsia="zh-CN" w:bidi="ar-SA"/>
        </w:rPr>
        <w:t>质壤土或绵沙土地块</w:t>
      </w:r>
      <w:r>
        <w:rPr>
          <w:rFonts w:hint="eastAsia" w:cs="Times New Roman"/>
          <w:sz w:val="21"/>
          <w:szCs w:val="21"/>
          <w:lang w:val="zh-CN" w:eastAsia="zh-CN" w:bidi="ar-SA"/>
        </w:rPr>
        <w:t>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23" w:name="_Toc13582"/>
      <w:bookmarkStart w:id="24" w:name="_Toc22744"/>
      <w:bookmarkStart w:id="25" w:name="_Toc8028"/>
      <w:bookmarkStart w:id="26" w:name="_Toc25460"/>
      <w:bookmarkStart w:id="27" w:name="_Toc31460"/>
      <w:bookmarkStart w:id="28" w:name="_Toc31533"/>
      <w:r>
        <w:rPr>
          <w:rFonts w:hint="eastAsia"/>
          <w:lang w:val="en-US" w:eastAsia="zh-CN"/>
        </w:rPr>
        <w:t>整地施肥</w:t>
      </w:r>
      <w:bookmarkEnd w:id="23"/>
      <w:bookmarkEnd w:id="24"/>
      <w:bookmarkEnd w:id="25"/>
      <w:bookmarkEnd w:id="26"/>
      <w:bookmarkEnd w:id="27"/>
      <w:bookmarkEnd w:id="28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cs="Times New Roman"/>
          <w:sz w:val="21"/>
          <w:szCs w:val="21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2"/>
          <w:sz w:val="21"/>
          <w:szCs w:val="21"/>
          <w:lang w:val="zh-CN" w:eastAsia="zh-CN" w:bidi="ar-SA"/>
        </w:rPr>
        <w:t>前茬作物收获后深</w:t>
      </w:r>
      <w:r>
        <w:rPr>
          <w:rFonts w:hint="eastAsia" w:cs="Times New Roman"/>
          <w:kern w:val="2"/>
          <w:sz w:val="21"/>
          <w:szCs w:val="21"/>
          <w:lang w:val="en-US" w:eastAsia="zh-CN" w:bidi="ar-SA"/>
        </w:rPr>
        <w:t>翻</w:t>
      </w:r>
      <w:r>
        <w:rPr>
          <w:rFonts w:hint="eastAsia"/>
          <w:lang w:val="en-US" w:eastAsia="zh-CN"/>
        </w:rPr>
        <w:t>25cm</w:t>
      </w:r>
      <w:r>
        <w:rPr>
          <w:rFonts w:hint="eastAsia"/>
        </w:rPr>
        <w:t>～</w:t>
      </w:r>
      <w:r>
        <w:rPr>
          <w:rFonts w:hint="eastAsia"/>
          <w:lang w:val="en-US" w:eastAsia="zh-CN"/>
        </w:rPr>
        <w:t>30cm</w:t>
      </w:r>
      <w:r>
        <w:rPr>
          <w:rFonts w:hint="eastAsia" w:cs="Times New Roman"/>
          <w:kern w:val="2"/>
          <w:sz w:val="21"/>
          <w:szCs w:val="21"/>
          <w:lang w:val="zh-CN" w:eastAsia="zh-CN" w:bidi="ar-SA"/>
        </w:rPr>
        <w:t>，</w:t>
      </w:r>
      <w:r>
        <w:rPr>
          <w:rFonts w:hint="eastAsia" w:ascii="宋体" w:hAnsi="Times New Roman" w:eastAsia="宋体" w:cs="Times New Roman"/>
          <w:kern w:val="2"/>
          <w:sz w:val="21"/>
          <w:szCs w:val="21"/>
          <w:lang w:val="zh-CN" w:eastAsia="zh-CN" w:bidi="ar-SA"/>
        </w:rPr>
        <w:t>结合深耕施入有机肥</w:t>
      </w:r>
      <w:r>
        <w:rPr>
          <w:rFonts w:hint="eastAsia" w:cs="Times New Roman"/>
          <w:kern w:val="2"/>
          <w:sz w:val="21"/>
          <w:szCs w:val="21"/>
          <w:lang w:val="en-US" w:eastAsia="zh-CN" w:bidi="ar-SA"/>
        </w:rPr>
        <w:t>2250</w:t>
      </w:r>
      <w:r>
        <w:rPr>
          <w:rFonts w:hint="eastAsia"/>
          <w:lang w:val="en-US" w:eastAsia="zh-CN"/>
        </w:rPr>
        <w:t>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 w:cs="Times New Roman"/>
          <w:kern w:val="2"/>
          <w:sz w:val="21"/>
          <w:szCs w:val="21"/>
          <w:lang w:val="zh-CN" w:eastAsia="zh-CN" w:bidi="ar-SA"/>
        </w:rPr>
        <w:t>、</w:t>
      </w:r>
      <w:r>
        <w:rPr>
          <w:rFonts w:hint="eastAsia" w:ascii="宋体" w:hAnsi="Times New Roman" w:eastAsia="宋体" w:cs="Times New Roman"/>
          <w:kern w:val="2"/>
          <w:sz w:val="21"/>
          <w:szCs w:val="21"/>
          <w:lang w:val="zh-CN" w:eastAsia="zh-CN" w:bidi="ar-SA"/>
        </w:rPr>
        <w:t>磷酸二铵</w:t>
      </w:r>
      <w:r>
        <w:rPr>
          <w:rFonts w:hint="eastAsia" w:cs="Times New Roman"/>
          <w:kern w:val="2"/>
          <w:sz w:val="21"/>
          <w:szCs w:val="21"/>
          <w:lang w:val="en-US" w:eastAsia="zh-CN" w:bidi="ar-SA"/>
        </w:rPr>
        <w:t>600</w:t>
      </w:r>
      <w:r>
        <w:rPr>
          <w:rFonts w:hint="eastAsia"/>
          <w:lang w:val="en-US" w:eastAsia="zh-CN"/>
        </w:rPr>
        <w:t>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 w:ascii="宋体" w:hAnsi="Times New Roman" w:eastAsia="宋体" w:cs="Times New Roman"/>
          <w:kern w:val="2"/>
          <w:sz w:val="21"/>
          <w:szCs w:val="21"/>
          <w:lang w:val="zh-CN" w:eastAsia="zh-CN" w:bidi="ar-SA"/>
        </w:rPr>
        <w:t>，硫酸钾</w:t>
      </w:r>
      <w:r>
        <w:rPr>
          <w:rFonts w:hint="eastAsia" w:cs="Times New Roman"/>
          <w:kern w:val="2"/>
          <w:sz w:val="21"/>
          <w:szCs w:val="21"/>
          <w:lang w:val="en-US" w:eastAsia="zh-CN" w:bidi="ar-SA"/>
        </w:rPr>
        <w:t>150</w:t>
      </w:r>
      <w:r>
        <w:rPr>
          <w:rFonts w:hint="eastAsia"/>
          <w:lang w:val="en-US" w:eastAsia="zh-CN"/>
        </w:rPr>
        <w:t>kg/hm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 w:ascii="宋体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，</w:t>
      </w:r>
      <w:r>
        <w:rPr>
          <w:rFonts w:hint="eastAsia" w:cs="Times New Roman"/>
          <w:kern w:val="2"/>
          <w:sz w:val="21"/>
          <w:szCs w:val="21"/>
          <w:lang w:val="en-US" w:eastAsia="zh-CN" w:bidi="ar-SA"/>
        </w:rPr>
        <w:t>深耕后</w:t>
      </w:r>
      <w:r>
        <w:rPr>
          <w:rFonts w:hint="eastAsia" w:ascii="宋体" w:hAnsi="Times New Roman" w:eastAsia="宋体" w:cs="Times New Roman"/>
          <w:kern w:val="2"/>
          <w:sz w:val="21"/>
          <w:szCs w:val="21"/>
          <w:lang w:val="zh-CN" w:eastAsia="zh-CN" w:bidi="ar-SA"/>
        </w:rPr>
        <w:t>耙</w:t>
      </w:r>
      <w:r>
        <w:rPr>
          <w:rFonts w:hint="eastAsia" w:cs="Times New Roman"/>
          <w:kern w:val="2"/>
          <w:sz w:val="21"/>
          <w:szCs w:val="21"/>
          <w:lang w:val="zh-CN" w:eastAsia="zh-CN" w:bidi="ar-SA"/>
        </w:rPr>
        <w:t>碎整平</w:t>
      </w:r>
      <w:r>
        <w:rPr>
          <w:rFonts w:hint="eastAsia" w:cs="Times New Roman"/>
          <w:sz w:val="21"/>
          <w:szCs w:val="21"/>
          <w:lang w:val="zh-CN" w:eastAsia="zh-CN" w:bidi="ar-SA"/>
        </w:rPr>
        <w:t>清</w:t>
      </w:r>
      <w:r>
        <w:rPr>
          <w:rFonts w:hint="eastAsia" w:cs="Times New Roman"/>
          <w:sz w:val="21"/>
          <w:szCs w:val="21"/>
          <w:lang w:val="en-US" w:eastAsia="zh-CN" w:bidi="ar-SA"/>
        </w:rPr>
        <w:t>除</w:t>
      </w:r>
      <w:r>
        <w:rPr>
          <w:rFonts w:hint="eastAsia" w:cs="Times New Roman"/>
          <w:sz w:val="21"/>
          <w:szCs w:val="21"/>
          <w:lang w:val="zh-CN" w:eastAsia="zh-CN" w:bidi="ar-SA"/>
        </w:rPr>
        <w:t>杂草和石块。</w:t>
      </w:r>
      <w:r>
        <w:rPr>
          <w:rFonts w:hint="eastAsia" w:cs="Times New Roman"/>
          <w:sz w:val="21"/>
          <w:szCs w:val="21"/>
          <w:lang w:val="en-US" w:eastAsia="zh-CN" w:bidi="ar-SA"/>
        </w:rPr>
        <w:t>有机肥质量应符合NY/T 525的要求，磷酸二铵质量应符合GB/T 10205的要求，硫酸钾质量应符合GB/T 20406的要求。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起垄</w:t>
      </w:r>
    </w:p>
    <w:p>
      <w:pPr>
        <w:pStyle w:val="258"/>
        <w:rPr>
          <w:rFonts w:hint="eastAsia" w:eastAsia="宋体"/>
          <w:lang w:val="en-US" w:eastAsia="zh-CN"/>
        </w:rPr>
      </w:pPr>
      <w:r>
        <w:rPr>
          <w:rFonts w:hint="eastAsia"/>
          <w:lang w:eastAsia="zh-CN"/>
        </w:rPr>
        <w:t>土地整平后</w:t>
      </w:r>
      <w:r>
        <w:rPr>
          <w:rFonts w:hint="eastAsia"/>
          <w:lang w:val="en-US" w:eastAsia="zh-CN"/>
        </w:rPr>
        <w:t>起垄，垄高20cm，垄宽120cm，垄间距30cm，</w:t>
      </w:r>
      <w:r>
        <w:rPr>
          <w:rFonts w:hint="eastAsia"/>
          <w:szCs w:val="22"/>
          <w:lang w:val="en-US" w:eastAsia="zh-CN"/>
        </w:rPr>
        <w:t>垄</w:t>
      </w:r>
      <w:r>
        <w:rPr>
          <w:rFonts w:hint="eastAsia"/>
          <w:szCs w:val="22"/>
        </w:rPr>
        <w:t>长可依地形而定</w:t>
      </w:r>
      <w:r>
        <w:rPr>
          <w:rFonts w:hint="eastAsia"/>
          <w:szCs w:val="22"/>
          <w:lang w:eastAsia="zh-CN"/>
        </w:rPr>
        <w:t>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29" w:name="_Toc26317"/>
      <w:bookmarkStart w:id="30" w:name="_Toc26563"/>
      <w:bookmarkStart w:id="31" w:name="_Toc6712"/>
      <w:bookmarkStart w:id="32" w:name="_Toc7842"/>
      <w:bookmarkStart w:id="33" w:name="_Toc27526"/>
      <w:bookmarkStart w:id="34" w:name="_Toc25779"/>
      <w:bookmarkStart w:id="35" w:name="_Toc25515"/>
      <w:bookmarkStart w:id="36" w:name="_Toc9482"/>
      <w:bookmarkStart w:id="37" w:name="_Toc9815"/>
      <w:bookmarkStart w:id="38" w:name="_Toc10289"/>
      <w:bookmarkStart w:id="39" w:name="_Toc3637"/>
      <w:r>
        <w:rPr>
          <w:rFonts w:hint="eastAsia"/>
          <w:lang w:val="en-US" w:eastAsia="zh-CN"/>
        </w:rPr>
        <w:t>播种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种子质量</w:t>
      </w:r>
    </w:p>
    <w:p>
      <w:pPr>
        <w:pStyle w:val="258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选用三年生植株采收的无杂质、无霉变、无虫蛀，籽粒饱满的新种子。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40" w:name="_Toc12408"/>
      <w:bookmarkStart w:id="41" w:name="_Toc83"/>
      <w:bookmarkStart w:id="42" w:name="_Toc20335"/>
      <w:bookmarkStart w:id="43" w:name="_Toc7655"/>
      <w:bookmarkStart w:id="44" w:name="_Toc8700"/>
      <w:bookmarkStart w:id="45" w:name="_Toc5976"/>
      <w:r>
        <w:rPr>
          <w:rFonts w:hint="eastAsia"/>
          <w:lang w:val="en-US" w:eastAsia="zh-CN"/>
        </w:rPr>
        <w:t>种子处理</w:t>
      </w:r>
      <w:bookmarkEnd w:id="40"/>
      <w:bookmarkEnd w:id="41"/>
      <w:bookmarkEnd w:id="42"/>
      <w:bookmarkEnd w:id="43"/>
      <w:bookmarkEnd w:id="44"/>
      <w:bookmarkEnd w:id="45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cs="宋体"/>
          <w:kern w:val="2"/>
          <w:sz w:val="21"/>
          <w:szCs w:val="21"/>
          <w:lang w:val="en-US" w:eastAsia="zh-CN"/>
        </w:rPr>
      </w:pPr>
      <w:bookmarkStart w:id="46" w:name="_Toc14223"/>
      <w:bookmarkStart w:id="47" w:name="_Toc16631"/>
      <w:bookmarkStart w:id="48" w:name="_Toc12238"/>
      <w:bookmarkStart w:id="49" w:name="_Toc5760"/>
      <w:bookmarkStart w:id="50" w:name="_Toc16313"/>
      <w:bookmarkStart w:id="51" w:name="_Toc11182"/>
      <w:r>
        <w:rPr>
          <w:rFonts w:hint="eastAsia" w:hAnsi="宋体" w:cs="宋体"/>
          <w:kern w:val="2"/>
          <w:sz w:val="21"/>
          <w:szCs w:val="21"/>
          <w:lang w:val="en-US" w:eastAsia="zh-CN"/>
        </w:rPr>
        <w:t>在选好的种子中倒入沸水，快速搅拌90秒，加入冷水并不断搅拌，将水温降至40℃后浸泡2h，将水沥干后播种，或放置阴凉处闷种，待种芽破皮后及时播种。</w:t>
      </w:r>
    </w:p>
    <w:p>
      <w:pPr>
        <w:pStyle w:val="260"/>
        <w:bidi w:val="0"/>
        <w:rPr>
          <w:rFonts w:hint="default"/>
          <w:lang w:val="en-US" w:eastAsia="zh-CN"/>
        </w:rPr>
      </w:pPr>
      <w:r>
        <w:rPr>
          <w:rFonts w:hint="eastAsia"/>
          <w:szCs w:val="22"/>
          <w:lang w:val="en-US" w:eastAsia="zh-CN"/>
        </w:rPr>
        <w:t>播种时间</w:t>
      </w:r>
      <w:bookmarkEnd w:id="46"/>
      <w:bookmarkEnd w:id="47"/>
      <w:bookmarkEnd w:id="48"/>
      <w:bookmarkEnd w:id="49"/>
      <w:bookmarkEnd w:id="50"/>
      <w:bookmarkEnd w:id="51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hAnsi="宋体" w:cs="宋体"/>
          <w:color w:val="auto"/>
          <w:kern w:val="2"/>
          <w:sz w:val="21"/>
          <w:szCs w:val="21"/>
          <w:lang w:val="en-US" w:eastAsia="zh-CN"/>
        </w:rPr>
        <w:t>土壤解冻，稳定通过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0℃时播种。</w:t>
      </w:r>
    </w:p>
    <w:p>
      <w:pPr>
        <w:pStyle w:val="260"/>
        <w:bidi w:val="0"/>
        <w:rPr>
          <w:rFonts w:hint="default"/>
          <w:lang w:val="en-US" w:eastAsia="zh-CN"/>
        </w:rPr>
      </w:pPr>
      <w:bookmarkStart w:id="52" w:name="_Toc15694"/>
      <w:bookmarkStart w:id="53" w:name="_Toc22644"/>
      <w:bookmarkStart w:id="54" w:name="_Toc20752"/>
      <w:bookmarkStart w:id="55" w:name="_Toc4040"/>
      <w:bookmarkStart w:id="56" w:name="_Toc15114"/>
      <w:bookmarkStart w:id="57" w:name="_Toc1286"/>
      <w:r>
        <w:rPr>
          <w:rFonts w:hint="eastAsia"/>
          <w:szCs w:val="22"/>
          <w:lang w:val="en-US" w:eastAsia="zh-CN"/>
        </w:rPr>
        <w:t>播种量</w:t>
      </w:r>
      <w:bookmarkEnd w:id="52"/>
      <w:bookmarkEnd w:id="53"/>
      <w:bookmarkEnd w:id="54"/>
      <w:bookmarkEnd w:id="55"/>
      <w:bookmarkEnd w:id="56"/>
      <w:bookmarkEnd w:id="57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112.5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/>
        </w:rPr>
        <w:t>kg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/hm</w:t>
      </w:r>
      <w:r>
        <w:rPr>
          <w:rFonts w:hint="eastAsia" w:hAnsi="宋体" w:cs="宋体"/>
          <w:kern w:val="2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～150.0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/>
        </w:rPr>
        <w:t>kg/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h</w:t>
      </w:r>
      <w:r>
        <w:rPr>
          <w:rFonts w:hint="eastAsia" w:ascii="宋体" w:hAnsi="宋体" w:eastAsia="宋体" w:cs="宋体"/>
          <w:kern w:val="2"/>
          <w:sz w:val="21"/>
          <w:szCs w:val="21"/>
        </w:rPr>
        <w:t>m</w:t>
      </w:r>
      <w:r>
        <w:rPr>
          <w:rFonts w:hint="eastAsia" w:ascii="宋体" w:hAnsi="宋体" w:eastAsia="宋体" w:cs="宋体"/>
          <w:kern w:val="2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kern w:val="2"/>
          <w:sz w:val="21"/>
          <w:szCs w:val="21"/>
        </w:rPr>
        <w:t>。</w:t>
      </w:r>
    </w:p>
    <w:p>
      <w:pPr>
        <w:pStyle w:val="260"/>
        <w:bidi w:val="0"/>
        <w:rPr>
          <w:rFonts w:hint="eastAsia"/>
          <w:color w:val="auto"/>
          <w:lang w:val="en-US" w:eastAsia="zh-CN"/>
        </w:rPr>
      </w:pPr>
      <w:bookmarkStart w:id="58" w:name="_Toc23189"/>
      <w:bookmarkStart w:id="59" w:name="_Toc8146"/>
      <w:bookmarkStart w:id="60" w:name="_Toc6794"/>
      <w:bookmarkStart w:id="61" w:name="_Toc2041"/>
      <w:bookmarkStart w:id="62" w:name="_Toc20856"/>
      <w:bookmarkStart w:id="63" w:name="_Toc24025"/>
      <w:r>
        <w:rPr>
          <w:rFonts w:hint="eastAsia"/>
          <w:color w:val="auto"/>
          <w:lang w:val="en-US" w:eastAsia="zh-CN"/>
        </w:rPr>
        <w:t>播种方</w:t>
      </w:r>
      <w:bookmarkEnd w:id="58"/>
      <w:bookmarkEnd w:id="59"/>
      <w:bookmarkEnd w:id="60"/>
      <w:bookmarkEnd w:id="61"/>
      <w:bookmarkEnd w:id="62"/>
      <w:r>
        <w:rPr>
          <w:rFonts w:hint="eastAsia"/>
          <w:color w:val="auto"/>
          <w:lang w:val="en-US" w:eastAsia="zh-CN"/>
        </w:rPr>
        <w:t>式</w:t>
      </w:r>
      <w:bookmarkEnd w:id="63"/>
      <w:bookmarkStart w:id="170" w:name="_GoBack"/>
      <w:bookmarkEnd w:id="170"/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宜采用撒播法，将种子与土或细砂混合均匀撒于垄面，覆土1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～</w:t>
      </w:r>
      <w:r>
        <w:rPr>
          <w:rFonts w:hint="eastAsia"/>
          <w:lang w:val="en-US" w:eastAsia="zh-CN"/>
        </w:rPr>
        <w:t>2cm，稍镇压后，覆草保墒。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eastAsia="zh-CN"/>
        </w:rPr>
      </w:pPr>
      <w:bookmarkStart w:id="64" w:name="_Toc3279"/>
      <w:bookmarkStart w:id="65" w:name="_Toc5970"/>
      <w:bookmarkStart w:id="66" w:name="_Toc20208"/>
      <w:bookmarkStart w:id="67" w:name="_Toc28076"/>
      <w:bookmarkStart w:id="68" w:name="_Toc15472"/>
      <w:bookmarkStart w:id="69" w:name="_Toc31278"/>
      <w:bookmarkStart w:id="70" w:name="_Toc19539"/>
      <w:bookmarkStart w:id="71" w:name="_Toc21615"/>
      <w:bookmarkStart w:id="72" w:name="_Toc18706"/>
      <w:bookmarkStart w:id="73" w:name="_Toc16402"/>
      <w:bookmarkStart w:id="74" w:name="_Toc32329"/>
      <w:r>
        <w:rPr>
          <w:rFonts w:hint="eastAsia"/>
          <w:szCs w:val="22"/>
          <w:lang w:eastAsia="zh-CN"/>
        </w:rPr>
        <w:t>田间管理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>
      <w:pPr>
        <w:pStyle w:val="260"/>
        <w:bidi w:val="0"/>
        <w:rPr>
          <w:rFonts w:hint="eastAsia"/>
          <w:lang w:eastAsia="zh-CN"/>
        </w:rPr>
      </w:pPr>
      <w:bookmarkStart w:id="75" w:name="_Toc4665"/>
      <w:bookmarkStart w:id="76" w:name="_Toc5768"/>
      <w:bookmarkStart w:id="77" w:name="_Toc1448"/>
      <w:bookmarkStart w:id="78" w:name="_Toc20093"/>
      <w:bookmarkStart w:id="79" w:name="_Toc4142"/>
      <w:bookmarkStart w:id="80" w:name="_Toc14824"/>
      <w:r>
        <w:rPr>
          <w:rFonts w:hint="eastAsia"/>
          <w:lang w:val="en-US" w:eastAsia="zh-CN"/>
        </w:rPr>
        <w:t>除草</w:t>
      </w:r>
      <w:bookmarkEnd w:id="75"/>
      <w:bookmarkEnd w:id="76"/>
      <w:bookmarkEnd w:id="77"/>
      <w:bookmarkEnd w:id="78"/>
      <w:bookmarkEnd w:id="79"/>
      <w:bookmarkEnd w:id="80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cs="宋体"/>
          <w:kern w:val="2"/>
          <w:sz w:val="21"/>
          <w:szCs w:val="21"/>
          <w:lang w:eastAsia="zh-CN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苗齐后适时除草，</w:t>
      </w:r>
      <w:r>
        <w:rPr>
          <w:rFonts w:hint="eastAsia" w:ascii="宋体" w:hAnsi="宋体" w:eastAsia="宋体" w:cs="宋体"/>
          <w:kern w:val="2"/>
          <w:sz w:val="21"/>
          <w:szCs w:val="21"/>
        </w:rPr>
        <w:t>生长期</w:t>
      </w:r>
      <w:r>
        <w:rPr>
          <w:rFonts w:hint="eastAsia" w:hAnsi="宋体" w:cs="宋体"/>
          <w:kern w:val="2"/>
          <w:sz w:val="21"/>
          <w:szCs w:val="21"/>
          <w:lang w:eastAsia="zh-CN"/>
        </w:rPr>
        <w:t>可根据草害程度除草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3～4次</w:t>
      </w:r>
      <w:r>
        <w:rPr>
          <w:rFonts w:hint="eastAsia" w:hAnsi="宋体" w:cs="宋体"/>
          <w:kern w:val="2"/>
          <w:sz w:val="21"/>
          <w:szCs w:val="21"/>
          <w:lang w:eastAsia="zh-CN"/>
        </w:rPr>
        <w:t>，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结合除草揭除覆草</w:t>
      </w:r>
      <w:r>
        <w:rPr>
          <w:rFonts w:hint="eastAsia" w:hAnsi="宋体" w:cs="宋体"/>
          <w:kern w:val="2"/>
          <w:sz w:val="21"/>
          <w:szCs w:val="21"/>
          <w:lang w:eastAsia="zh-CN"/>
        </w:rPr>
        <w:t>。</w:t>
      </w:r>
    </w:p>
    <w:p>
      <w:pPr>
        <w:pStyle w:val="260"/>
        <w:bidi w:val="0"/>
        <w:rPr>
          <w:rFonts w:hint="eastAsia"/>
          <w:lang w:eastAsia="zh-CN"/>
        </w:rPr>
      </w:pPr>
      <w:bookmarkStart w:id="81" w:name="_Toc19348"/>
      <w:bookmarkStart w:id="82" w:name="_Toc24008"/>
      <w:bookmarkStart w:id="83" w:name="_Toc22414"/>
      <w:bookmarkStart w:id="84" w:name="_Toc24979"/>
      <w:bookmarkStart w:id="85" w:name="_Toc4384"/>
      <w:bookmarkStart w:id="86" w:name="_Toc20680"/>
      <w:r>
        <w:rPr>
          <w:rFonts w:hint="eastAsia"/>
          <w:lang w:val="en-US" w:eastAsia="zh-CN"/>
        </w:rPr>
        <w:t>间苗</w:t>
      </w:r>
      <w:bookmarkEnd w:id="81"/>
      <w:bookmarkEnd w:id="82"/>
      <w:bookmarkEnd w:id="83"/>
      <w:bookmarkEnd w:id="84"/>
      <w:bookmarkEnd w:id="85"/>
      <w:bookmarkEnd w:id="86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default" w:hAnsi="宋体" w:cs="宋体"/>
          <w:b/>
          <w:bCs/>
          <w:kern w:val="2"/>
          <w:sz w:val="21"/>
          <w:szCs w:val="21"/>
          <w:lang w:val="en-US" w:eastAsia="zh-CN"/>
        </w:rPr>
      </w:pPr>
      <w:r>
        <w:rPr>
          <w:rFonts w:hint="eastAsia" w:hAnsi="宋体" w:cs="宋体"/>
          <w:b w:val="0"/>
          <w:bCs w:val="0"/>
          <w:kern w:val="2"/>
          <w:sz w:val="21"/>
          <w:szCs w:val="21"/>
          <w:lang w:val="en-US" w:eastAsia="zh-CN"/>
        </w:rPr>
        <w:t>结合除草进行间苗，苗间距不宜超过3cm。</w:t>
      </w:r>
    </w:p>
    <w:p>
      <w:pPr>
        <w:pStyle w:val="260"/>
        <w:bidi w:val="0"/>
        <w:rPr>
          <w:rFonts w:hint="eastAsia"/>
          <w:lang w:eastAsia="zh-CN"/>
        </w:rPr>
      </w:pPr>
      <w:bookmarkStart w:id="87" w:name="_Toc26368"/>
      <w:bookmarkStart w:id="88" w:name="_Toc25458"/>
      <w:bookmarkStart w:id="89" w:name="_Toc7461"/>
      <w:bookmarkStart w:id="90" w:name="_Toc13772"/>
      <w:bookmarkStart w:id="91" w:name="_Toc29896"/>
      <w:bookmarkStart w:id="92" w:name="_Toc2326"/>
      <w:r>
        <w:rPr>
          <w:rFonts w:hint="eastAsia"/>
          <w:lang w:val="en-US" w:eastAsia="zh-CN"/>
        </w:rPr>
        <w:t>灌溉</w:t>
      </w:r>
      <w:bookmarkEnd w:id="87"/>
      <w:bookmarkEnd w:id="88"/>
      <w:bookmarkEnd w:id="89"/>
      <w:bookmarkEnd w:id="90"/>
      <w:bookmarkEnd w:id="91"/>
      <w:bookmarkEnd w:id="92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hAnsi="宋体" w:cs="宋体"/>
          <w:kern w:val="2"/>
          <w:sz w:val="21"/>
          <w:szCs w:val="21"/>
          <w:lang w:eastAsia="zh-CN"/>
        </w:rPr>
        <w:t>播后苗床可根据土壤墒情定期喷灌</w:t>
      </w:r>
      <w:r>
        <w:rPr>
          <w:rFonts w:hint="eastAsia" w:ascii="宋体" w:hAnsi="宋体" w:eastAsia="宋体" w:cs="宋体"/>
          <w:kern w:val="2"/>
          <w:sz w:val="21"/>
          <w:szCs w:val="21"/>
        </w:rPr>
        <w:t>。</w:t>
      </w:r>
    </w:p>
    <w:p>
      <w:pPr>
        <w:pStyle w:val="260"/>
        <w:bidi w:val="0"/>
        <w:rPr>
          <w:rFonts w:hint="eastAsia"/>
          <w:lang w:eastAsia="zh-CN"/>
        </w:rPr>
      </w:pPr>
      <w:bookmarkStart w:id="93" w:name="_Toc20450"/>
      <w:bookmarkStart w:id="94" w:name="_Toc8540"/>
      <w:bookmarkStart w:id="95" w:name="_Toc20838"/>
      <w:bookmarkStart w:id="96" w:name="_Toc16148"/>
      <w:bookmarkStart w:id="97" w:name="_Toc5605"/>
      <w:bookmarkStart w:id="98" w:name="_Toc9704"/>
      <w:r>
        <w:rPr>
          <w:rFonts w:hint="eastAsia"/>
          <w:lang w:val="en-US" w:eastAsia="zh-CN"/>
        </w:rPr>
        <w:t>追肥</w:t>
      </w:r>
      <w:bookmarkEnd w:id="93"/>
      <w:bookmarkEnd w:id="94"/>
      <w:bookmarkEnd w:id="95"/>
      <w:bookmarkEnd w:id="96"/>
      <w:bookmarkEnd w:id="97"/>
      <w:bookmarkEnd w:id="98"/>
    </w:p>
    <w:p>
      <w:pPr>
        <w:pStyle w:val="258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苗生长中后期结合灌水</w:t>
      </w:r>
      <w:r>
        <w:rPr>
          <w:rFonts w:hint="eastAsia" w:ascii="宋体" w:hAnsi="宋体" w:eastAsia="宋体" w:cs="宋体"/>
          <w:kern w:val="2"/>
          <w:sz w:val="21"/>
          <w:szCs w:val="21"/>
        </w:rPr>
        <w:t>追施尿素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37.5</w:t>
      </w:r>
      <w:r>
        <w:rPr>
          <w:rFonts w:hint="eastAsia" w:ascii="宋体" w:hAnsi="宋体" w:eastAsia="宋体" w:cs="宋体"/>
          <w:kern w:val="2"/>
          <w:sz w:val="21"/>
          <w:szCs w:val="21"/>
        </w:rPr>
        <w:t>kg/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h</w:t>
      </w:r>
      <w:r>
        <w:rPr>
          <w:rFonts w:hint="eastAsia" w:ascii="宋体" w:hAnsi="宋体" w:eastAsia="宋体" w:cs="宋体"/>
          <w:kern w:val="2"/>
          <w:sz w:val="21"/>
          <w:szCs w:val="21"/>
        </w:rPr>
        <w:t>m</w:t>
      </w:r>
      <w:r>
        <w:rPr>
          <w:rFonts w:hint="eastAsia" w:hAnsi="宋体" w:cs="宋体"/>
          <w:kern w:val="2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宋体" w:hAnsi="宋体" w:eastAsia="宋体" w:cs="宋体"/>
          <w:kern w:val="2"/>
          <w:sz w:val="21"/>
          <w:szCs w:val="21"/>
        </w:rPr>
        <w:t>～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45</w:t>
      </w:r>
      <w:r>
        <w:rPr>
          <w:rFonts w:hint="eastAsia" w:ascii="宋体" w:hAnsi="宋体" w:eastAsia="宋体" w:cs="宋体"/>
          <w:kern w:val="2"/>
          <w:sz w:val="21"/>
          <w:szCs w:val="21"/>
        </w:rPr>
        <w:t>kg/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h</w:t>
      </w:r>
      <w:r>
        <w:rPr>
          <w:rFonts w:hint="eastAsia" w:ascii="宋体" w:hAnsi="宋体" w:eastAsia="宋体" w:cs="宋体"/>
          <w:kern w:val="2"/>
          <w:sz w:val="21"/>
          <w:szCs w:val="21"/>
        </w:rPr>
        <w:t>m</w:t>
      </w:r>
      <w:r>
        <w:rPr>
          <w:rFonts w:hint="eastAsia" w:ascii="宋体" w:hAnsi="宋体" w:eastAsia="宋体" w:cs="宋体"/>
          <w:kern w:val="2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kern w:val="2"/>
          <w:sz w:val="21"/>
          <w:szCs w:val="21"/>
        </w:rPr>
        <w:t>。</w:t>
      </w:r>
      <w:bookmarkStart w:id="99" w:name="_Toc4753"/>
      <w:bookmarkStart w:id="100" w:name="_Toc19841"/>
      <w:bookmarkStart w:id="101" w:name="_Toc8518"/>
      <w:bookmarkStart w:id="102" w:name="_Toc22648"/>
      <w:bookmarkStart w:id="103" w:name="_Toc8283"/>
    </w:p>
    <w:p>
      <w:pPr>
        <w:pStyle w:val="259"/>
        <w:bidi w:val="0"/>
        <w:rPr>
          <w:rFonts w:hint="eastAsia"/>
          <w:lang w:val="en-US" w:eastAsia="zh-CN"/>
        </w:rPr>
      </w:pPr>
      <w:bookmarkStart w:id="104" w:name="_Toc14515"/>
      <w:bookmarkStart w:id="105" w:name="_Toc11158"/>
      <w:r>
        <w:rPr>
          <w:rFonts w:hint="eastAsia"/>
          <w:lang w:val="en-US" w:eastAsia="zh-CN"/>
        </w:rPr>
        <w:t>有害生物防治</w:t>
      </w:r>
      <w:bookmarkEnd w:id="99"/>
      <w:bookmarkEnd w:id="100"/>
      <w:bookmarkEnd w:id="101"/>
      <w:bookmarkEnd w:id="102"/>
      <w:bookmarkEnd w:id="103"/>
      <w:bookmarkEnd w:id="104"/>
      <w:bookmarkEnd w:id="105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主要病虫害</w:t>
      </w:r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hAnsi="宋体" w:cs="宋体"/>
          <w:kern w:val="2"/>
          <w:sz w:val="21"/>
          <w:szCs w:val="21"/>
          <w:lang w:val="en-US" w:eastAsia="zh-CN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黄芪</w:t>
      </w:r>
      <w:r>
        <w:rPr>
          <w:rFonts w:hint="eastAsia"/>
          <w:szCs w:val="22"/>
          <w:lang w:val="en-US" w:eastAsia="zh-CN"/>
        </w:rPr>
        <w:t>主要病害有根腐病、枯萎病、白粉病等；主要害虫有根瘤象、蛴螬、金针虫、蚜虫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等；主要鼠害有鼢鼠。</w:t>
      </w:r>
    </w:p>
    <w:p>
      <w:pPr>
        <w:pStyle w:val="260"/>
        <w:bidi w:val="0"/>
        <w:rPr>
          <w:rFonts w:hint="eastAsia"/>
          <w:szCs w:val="22"/>
          <w:lang w:val="en-US" w:eastAsia="zh-CN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防治方法</w:t>
      </w:r>
    </w:p>
    <w:p>
      <w:pPr>
        <w:pStyle w:val="258"/>
        <w:bidi w:val="0"/>
        <w:rPr>
          <w:rFonts w:hint="eastAsia"/>
          <w:color w:val="0000FF"/>
          <w:szCs w:val="22"/>
          <w:lang w:val="en-US" w:eastAsia="zh-CN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选用低毒无残留的生物药剂防治，结合农业防治，改善农田管理制度，精耕细作，除草灭虫。药剂使用按NY/T 1276执行，鼠害防治按NY/T 1905执行，常用药剂见附表A。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106" w:name="_Toc30712"/>
      <w:bookmarkStart w:id="107" w:name="_Toc27571"/>
      <w:bookmarkStart w:id="108" w:name="_Toc7558"/>
      <w:bookmarkStart w:id="109" w:name="_Toc846"/>
      <w:bookmarkStart w:id="110" w:name="_Toc14475"/>
      <w:bookmarkStart w:id="111" w:name="_Toc28303"/>
      <w:bookmarkStart w:id="112" w:name="_Toc21241"/>
      <w:bookmarkStart w:id="113" w:name="_Toc20952"/>
      <w:bookmarkStart w:id="114" w:name="_Toc8713"/>
      <w:bookmarkStart w:id="115" w:name="_Toc4578"/>
      <w:bookmarkStart w:id="116" w:name="_Toc19000"/>
      <w:r>
        <w:rPr>
          <w:rFonts w:hint="eastAsia"/>
          <w:lang w:val="en-US" w:eastAsia="zh-CN"/>
        </w:rPr>
        <w:t>起苗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r>
        <w:rPr>
          <w:rFonts w:hint="eastAsia"/>
          <w:lang w:val="en-US" w:eastAsia="zh-CN"/>
        </w:rPr>
        <w:t>与分级</w:t>
      </w:r>
      <w:bookmarkEnd w:id="116"/>
    </w:p>
    <w:p>
      <w:pPr>
        <w:pStyle w:val="260"/>
        <w:bidi w:val="0"/>
        <w:rPr>
          <w:rFonts w:hint="eastAsia"/>
          <w:lang w:val="en-US" w:eastAsia="zh-CN"/>
        </w:rPr>
      </w:pPr>
      <w:bookmarkStart w:id="117" w:name="_Toc18835"/>
      <w:bookmarkStart w:id="118" w:name="_Toc7618"/>
      <w:bookmarkStart w:id="119" w:name="_Toc29197"/>
      <w:bookmarkStart w:id="120" w:name="_Toc643"/>
      <w:bookmarkStart w:id="121" w:name="_Toc20803"/>
      <w:bookmarkStart w:id="122" w:name="_Toc25242"/>
      <w:r>
        <w:rPr>
          <w:rFonts w:hint="eastAsia"/>
          <w:lang w:val="en-US" w:eastAsia="zh-CN"/>
        </w:rPr>
        <w:t>起苗时间</w:t>
      </w:r>
      <w:bookmarkEnd w:id="117"/>
      <w:bookmarkEnd w:id="118"/>
      <w:bookmarkEnd w:id="119"/>
      <w:bookmarkEnd w:id="120"/>
      <w:bookmarkEnd w:id="121"/>
      <w:bookmarkEnd w:id="122"/>
    </w:p>
    <w:p>
      <w:pPr>
        <w:pStyle w:val="258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土壤</w:t>
      </w:r>
      <w:r>
        <w:rPr>
          <w:rFonts w:hint="eastAsia"/>
          <w:lang w:val="en-US" w:eastAsia="zh-CN"/>
        </w:rPr>
        <w:t>完全</w:t>
      </w:r>
      <w:r>
        <w:rPr>
          <w:rFonts w:hint="eastAsia"/>
          <w:lang w:eastAsia="zh-CN"/>
        </w:rPr>
        <w:t>解冻后</w:t>
      </w:r>
      <w:r>
        <w:rPr>
          <w:rFonts w:hint="eastAsia"/>
          <w:lang w:val="en-US" w:eastAsia="zh-CN"/>
        </w:rPr>
        <w:t>开始起苗。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123" w:name="_Toc22690"/>
      <w:bookmarkStart w:id="124" w:name="_Toc20982"/>
      <w:bookmarkStart w:id="125" w:name="_Toc15360"/>
      <w:bookmarkStart w:id="126" w:name="_Toc7287"/>
      <w:bookmarkStart w:id="127" w:name="_Toc24827"/>
      <w:bookmarkStart w:id="128" w:name="_Toc24550"/>
      <w:r>
        <w:rPr>
          <w:rFonts w:hint="eastAsia"/>
          <w:szCs w:val="22"/>
          <w:lang w:val="en-US" w:eastAsia="zh-CN"/>
        </w:rPr>
        <w:t>起苗方法</w:t>
      </w:r>
      <w:bookmarkEnd w:id="123"/>
      <w:bookmarkEnd w:id="124"/>
      <w:bookmarkEnd w:id="125"/>
      <w:bookmarkEnd w:id="126"/>
      <w:bookmarkEnd w:id="127"/>
      <w:bookmarkEnd w:id="128"/>
    </w:p>
    <w:p>
      <w:pPr>
        <w:pStyle w:val="258"/>
        <w:keepNext w:val="0"/>
        <w:keepLines w:val="0"/>
        <w:pageBreakBefore w:val="0"/>
        <w:widowControl/>
        <w:tabs>
          <w:tab w:val="center" w:pos="4201"/>
          <w:tab w:val="right" w:leader="dot" w:pos="9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kern w:val="2"/>
          <w:sz w:val="21"/>
          <w:szCs w:val="21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可采用人工或机械起苗，采挖时确保根系完整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</w:rPr>
        <w:t>。</w:t>
      </w:r>
    </w:p>
    <w:p>
      <w:pPr>
        <w:pStyle w:val="260"/>
        <w:bidi w:val="0"/>
        <w:rPr>
          <w:rFonts w:hint="eastAsia"/>
        </w:rPr>
      </w:pPr>
      <w:bookmarkStart w:id="129" w:name="_Toc16903"/>
      <w:r>
        <w:rPr>
          <w:rFonts w:hint="eastAsia"/>
          <w:lang w:eastAsia="zh-CN"/>
        </w:rPr>
        <w:t>分级扎捆</w:t>
      </w:r>
      <w:bookmarkEnd w:id="129"/>
    </w:p>
    <w:p>
      <w:pPr>
        <w:pStyle w:val="258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采挖后要挑选种苗，剔除带病苗、带伤苗、弱小苗，然后将挑拣出来的种苗按表1分级，按等级</w:t>
      </w:r>
      <w:r>
        <w:rPr>
          <w:rFonts w:hint="eastAsia"/>
          <w:lang w:eastAsia="zh-CN"/>
        </w:rPr>
        <w:t>扎成直径为</w:t>
      </w:r>
      <w:r>
        <w:rPr>
          <w:rFonts w:hint="eastAsia"/>
          <w:lang w:val="en-US" w:eastAsia="zh-CN"/>
        </w:rPr>
        <w:t>8cm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～</w:t>
      </w:r>
      <w:r>
        <w:rPr>
          <w:rFonts w:hint="eastAsia"/>
          <w:lang w:val="en-US" w:eastAsia="zh-CN"/>
        </w:rPr>
        <w:t>10cm的</w:t>
      </w:r>
      <w:r>
        <w:rPr>
          <w:rFonts w:hint="eastAsia"/>
          <w:lang w:eastAsia="zh-CN"/>
        </w:rPr>
        <w:t>小捆</w:t>
      </w:r>
      <w:r>
        <w:rPr>
          <w:rFonts w:hint="eastAsia"/>
          <w:lang w:val="en-US" w:eastAsia="zh-CN"/>
        </w:rPr>
        <w:t>。</w:t>
      </w:r>
    </w:p>
    <w:p>
      <w:pPr>
        <w:pStyle w:val="301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黄芪种苗等级标准</w:t>
      </w:r>
    </w:p>
    <w:tbl>
      <w:tblPr>
        <w:tblStyle w:val="89"/>
        <w:tblpPr w:leftFromText="180" w:rightFromText="180" w:vertAnchor="text" w:horzAnchor="page" w:tblpXSpec="center" w:tblpY="165"/>
        <w:tblOverlap w:val="never"/>
        <w:tblW w:w="8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992"/>
        <w:gridCol w:w="1964"/>
        <w:gridCol w:w="1915"/>
        <w:gridCol w:w="1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4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eastAsia"/>
                <w:szCs w:val="22"/>
                <w:lang w:eastAsia="zh-CN"/>
              </w:rPr>
            </w:pPr>
            <w:r>
              <w:rPr>
                <w:rFonts w:hint="eastAsia"/>
                <w:szCs w:val="22"/>
                <w:lang w:eastAsia="zh-CN"/>
              </w:rPr>
              <w:t>级别</w:t>
            </w:r>
          </w:p>
        </w:tc>
        <w:tc>
          <w:tcPr>
            <w:tcW w:w="58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  <w:lang w:eastAsia="zh-CN"/>
              </w:rPr>
            </w:pPr>
            <w:r>
              <w:rPr>
                <w:rFonts w:hint="eastAsia"/>
                <w:szCs w:val="22"/>
                <w:lang w:eastAsia="zh-CN"/>
              </w:rPr>
              <w:t>规格</w:t>
            </w:r>
          </w:p>
        </w:tc>
        <w:tc>
          <w:tcPr>
            <w:tcW w:w="14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58"/>
              <w:jc w:val="both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eastAsia="zh-CN"/>
              </w:rPr>
              <w:t>侧根（</w:t>
            </w:r>
            <w:r>
              <w:rPr>
                <w:rFonts w:hint="eastAsia"/>
                <w:szCs w:val="22"/>
                <w:lang w:val="en-US" w:eastAsia="zh-CN"/>
              </w:rPr>
              <w:t>d&gt;0.2cm</w:t>
            </w:r>
            <w:r>
              <w:rPr>
                <w:rFonts w:hint="eastAsia"/>
                <w:szCs w:val="2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  <w:lang w:eastAsia="zh-CN"/>
              </w:rPr>
            </w:pPr>
          </w:p>
        </w:tc>
        <w:tc>
          <w:tcPr>
            <w:tcW w:w="1992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根</w:t>
            </w:r>
            <w:r>
              <w:rPr>
                <w:rFonts w:hint="eastAsia"/>
                <w:szCs w:val="22"/>
                <w:lang w:eastAsia="zh-CN"/>
              </w:rPr>
              <w:t>长</w:t>
            </w:r>
            <w:r>
              <w:rPr>
                <w:rFonts w:hint="eastAsia"/>
                <w:szCs w:val="22"/>
                <w:lang w:val="en-US" w:eastAsia="zh-CN"/>
              </w:rPr>
              <w:t>cm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根</w:t>
            </w:r>
            <w:r>
              <w:rPr>
                <w:rFonts w:hint="eastAsia"/>
                <w:szCs w:val="22"/>
                <w:lang w:eastAsia="zh-CN"/>
              </w:rPr>
              <w:t>径</w:t>
            </w:r>
            <w:r>
              <w:rPr>
                <w:rFonts w:hint="eastAsia"/>
                <w:szCs w:val="22"/>
                <w:lang w:val="en-US" w:eastAsia="zh-CN"/>
              </w:rPr>
              <w:t>cm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单株根</w:t>
            </w:r>
            <w:r>
              <w:rPr>
                <w:rFonts w:hint="eastAsia"/>
                <w:szCs w:val="22"/>
                <w:lang w:eastAsia="zh-CN"/>
              </w:rPr>
              <w:t>鲜重</w:t>
            </w:r>
            <w:r>
              <w:rPr>
                <w:rFonts w:hint="eastAsia"/>
                <w:szCs w:val="22"/>
                <w:lang w:val="en-US" w:eastAsia="zh-CN"/>
              </w:rPr>
              <w:t>g</w:t>
            </w:r>
          </w:p>
        </w:tc>
        <w:tc>
          <w:tcPr>
            <w:tcW w:w="14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61" w:type="dxa"/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eastAsia"/>
                <w:szCs w:val="22"/>
                <w:lang w:eastAsia="zh-CN"/>
              </w:rPr>
            </w:pPr>
            <w:r>
              <w:rPr>
                <w:rFonts w:hint="eastAsia"/>
                <w:szCs w:val="22"/>
                <w:lang w:eastAsia="zh-CN"/>
              </w:rPr>
              <w:t>一级苗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≥35.0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default" w:ascii="宋体" w:hAnsi="Times New Roman" w:eastAsia="宋体" w:cs="Times New Roman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≥0.80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default" w:ascii="宋体" w:hAnsi="Times New Roman" w:eastAsia="宋体" w:cs="Times New Roman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≥6.00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无明显侧根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461" w:type="dxa"/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eastAsia"/>
                <w:szCs w:val="22"/>
                <w:lang w:eastAsia="zh-CN"/>
              </w:rPr>
            </w:pPr>
            <w:r>
              <w:rPr>
                <w:rFonts w:hint="eastAsia"/>
                <w:szCs w:val="22"/>
                <w:lang w:eastAsia="zh-CN"/>
              </w:rPr>
              <w:t>二级苗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25.0</w:t>
            </w: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35.0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0.50</w:t>
            </w: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0.80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pStyle w:val="258"/>
              <w:ind w:left="0" w:leftChars="0" w:firstLine="210" w:firstLineChars="100"/>
              <w:jc w:val="center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6.00</w:t>
            </w: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4.00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&lt;1根侧根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461" w:type="dxa"/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eastAsia"/>
                <w:szCs w:val="22"/>
                <w:lang w:eastAsia="zh-CN"/>
              </w:rPr>
            </w:pPr>
            <w:r>
              <w:rPr>
                <w:rFonts w:hint="eastAsia"/>
                <w:szCs w:val="22"/>
                <w:lang w:eastAsia="zh-CN"/>
              </w:rPr>
              <w:t>三级苗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20.0</w:t>
            </w: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25.0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58"/>
              <w:ind w:firstLine="420"/>
              <w:jc w:val="center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0.30</w:t>
            </w: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0.50</w:t>
            </w:r>
          </w:p>
        </w:tc>
        <w:tc>
          <w:tcPr>
            <w:tcW w:w="1915" w:type="dxa"/>
            <w:noWrap w:val="0"/>
            <w:vAlign w:val="center"/>
          </w:tcPr>
          <w:p>
            <w:pPr>
              <w:pStyle w:val="258"/>
              <w:ind w:left="0" w:leftChars="0" w:firstLine="210" w:firstLineChars="100"/>
              <w:jc w:val="center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2.00</w:t>
            </w:r>
            <w:r>
              <w:rPr>
                <w:rFonts w:hint="eastAsia" w:ascii="宋体" w:hAnsi="Times New Roman" w:eastAsia="宋体" w:cs="Times New Roman"/>
                <w:sz w:val="21"/>
                <w:szCs w:val="22"/>
                <w:lang w:val="en-US" w:eastAsia="zh-CN" w:bidi="ar-SA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4.00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&lt;1根侧根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8739" w:type="dxa"/>
            <w:gridSpan w:val="5"/>
            <w:noWrap w:val="0"/>
            <w:vAlign w:val="center"/>
          </w:tcPr>
          <w:p>
            <w:pPr>
              <w:pStyle w:val="258"/>
              <w:ind w:left="0" w:leftChars="0" w:firstLine="0" w:firstLineChars="0"/>
              <w:jc w:val="center"/>
              <w:rPr>
                <w:rFonts w:hint="eastAsia" w:ascii="黑体" w:hAnsi="Times New Roman" w:cs="Times New Roman" w:eastAsiaTheme="majorEastAsia"/>
                <w:sz w:val="21"/>
                <w:szCs w:val="21"/>
                <w:lang w:val="en-US" w:eastAsia="zh-CN" w:bidi="ar-SA"/>
              </w:rPr>
            </w:pPr>
            <w:bookmarkStart w:id="130" w:name="_Toc25283"/>
            <w:bookmarkStart w:id="131" w:name="_Toc4971"/>
            <w:bookmarkStart w:id="132" w:name="_Toc31740"/>
            <w:bookmarkStart w:id="133" w:name="_Toc20100"/>
            <w:bookmarkStart w:id="134" w:name="_Toc7398"/>
            <w:bookmarkStart w:id="135" w:name="_Toc22817"/>
            <w:bookmarkStart w:id="136" w:name="_Toc13971"/>
            <w:bookmarkStart w:id="137" w:name="_Toc9026"/>
            <w:bookmarkStart w:id="138" w:name="_Toc24417"/>
            <w:bookmarkStart w:id="139" w:name="_Toc19198"/>
            <w:r>
              <w:rPr>
                <w:rFonts w:hint="eastAsia" w:ascii="黑体" w:cs="Times New Roman" w:eastAsiaTheme="majorEastAsia"/>
                <w:sz w:val="21"/>
                <w:szCs w:val="21"/>
                <w:lang w:val="en-US" w:eastAsia="zh-CN" w:bidi="ar-SA"/>
              </w:rPr>
              <w:t>根</w:t>
            </w:r>
            <w:r>
              <w:rPr>
                <w:rFonts w:hint="eastAsia" w:ascii="黑体" w:hAnsi="Times New Roman" w:cs="Times New Roman" w:eastAsiaTheme="majorEastAsia"/>
                <w:sz w:val="21"/>
                <w:szCs w:val="21"/>
                <w:lang w:val="en-US" w:eastAsia="zh-CN" w:bidi="ar-SA"/>
              </w:rPr>
              <w:t>长&lt;20.0cm，</w:t>
            </w:r>
            <w:r>
              <w:rPr>
                <w:rFonts w:hint="eastAsia" w:ascii="黑体" w:cs="Times New Roman" w:eastAsiaTheme="majorEastAsia"/>
                <w:sz w:val="21"/>
                <w:szCs w:val="21"/>
                <w:lang w:val="en-US" w:eastAsia="zh-CN" w:bidi="ar-SA"/>
              </w:rPr>
              <w:t>根</w:t>
            </w:r>
            <w:r>
              <w:rPr>
                <w:rFonts w:hint="eastAsia" w:ascii="黑体" w:hAnsi="Times New Roman" w:cs="Times New Roman" w:eastAsiaTheme="majorEastAsia"/>
                <w:sz w:val="21"/>
                <w:szCs w:val="21"/>
                <w:lang w:val="en-US" w:eastAsia="zh-CN" w:bidi="ar-SA"/>
              </w:rPr>
              <w:t>径&lt;0.3cm，芽体缺失、侧根数太多、根部表面有损伤均为不合格种苗</w:t>
            </w:r>
          </w:p>
        </w:tc>
      </w:tr>
    </w:tbl>
    <w:p>
      <w:pPr>
        <w:pStyle w:val="259"/>
        <w:numPr>
          <w:ilvl w:val="0"/>
          <w:numId w:val="11"/>
        </w:numPr>
        <w:tabs>
          <w:tab w:val="left" w:pos="2092"/>
        </w:tabs>
        <w:rPr>
          <w:rFonts w:hint="eastAsia"/>
          <w:szCs w:val="22"/>
          <w:lang w:val="en-US" w:eastAsia="zh-CN"/>
        </w:rPr>
      </w:pPr>
      <w:bookmarkStart w:id="140" w:name="_Toc13702"/>
      <w:r>
        <w:rPr>
          <w:rFonts w:hint="eastAsia"/>
          <w:szCs w:val="22"/>
          <w:lang w:val="en-US" w:eastAsia="zh-CN"/>
        </w:rPr>
        <w:t>贮藏</w:t>
      </w:r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r>
        <w:rPr>
          <w:rFonts w:hint="eastAsia"/>
          <w:szCs w:val="22"/>
          <w:lang w:val="en-US" w:eastAsia="zh-CN"/>
        </w:rPr>
        <w:tab/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窖藏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在纤维袋底层铺一层湿土，放一层种苗小捆，苗头朝外，再铺</w:t>
      </w:r>
      <w:r>
        <w:rPr>
          <w:rFonts w:hint="eastAsia"/>
          <w:lang w:val="en-US" w:eastAsia="zh-CN"/>
        </w:rPr>
        <w:t>5cm左右的湿土继续放苗子，</w:t>
      </w:r>
      <w:r>
        <w:rPr>
          <w:rFonts w:hint="eastAsia"/>
          <w:lang w:eastAsia="zh-CN"/>
        </w:rPr>
        <w:t>依次装满袋子，放在干燥、阴凉的室内贮藏，室内温度</w:t>
      </w:r>
      <w:r>
        <w:rPr>
          <w:rFonts w:hint="eastAsia"/>
          <w:lang w:val="en-US" w:eastAsia="zh-CN"/>
        </w:rPr>
        <w:t>应</w:t>
      </w:r>
      <w:r>
        <w:rPr>
          <w:rFonts w:hint="eastAsia"/>
          <w:lang w:eastAsia="zh-CN"/>
        </w:rPr>
        <w:t>控制在</w:t>
      </w:r>
      <w:r>
        <w:rPr>
          <w:rFonts w:hint="eastAsia"/>
          <w:lang w:val="en-US" w:eastAsia="zh-CN"/>
        </w:rPr>
        <w:t>4℃以下。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假植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选择不易积水的地块，挖深坑，一层苗一层土铺放在坑内，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覆湿土5.0cm～10.0cm</w:t>
      </w:r>
      <w:r>
        <w:rPr>
          <w:rFonts w:hint="eastAsia"/>
          <w:lang w:val="en-US" w:eastAsia="zh-CN"/>
        </w:rPr>
        <w:t>。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141" w:name="_Toc13752"/>
      <w:bookmarkStart w:id="142" w:name="_Toc31308"/>
      <w:bookmarkStart w:id="143" w:name="_Toc581"/>
      <w:bookmarkStart w:id="144" w:name="_Toc13469"/>
      <w:bookmarkStart w:id="145" w:name="_Toc19399"/>
      <w:bookmarkStart w:id="146" w:name="_Toc13723"/>
      <w:bookmarkStart w:id="147" w:name="_Toc4808"/>
      <w:bookmarkStart w:id="148" w:name="_Toc31019"/>
      <w:bookmarkStart w:id="149" w:name="_Toc11067"/>
      <w:bookmarkStart w:id="150" w:name="_Toc286"/>
      <w:bookmarkStart w:id="151" w:name="_Toc2723"/>
      <w:r>
        <w:rPr>
          <w:rFonts w:hint="eastAsia"/>
          <w:szCs w:val="22"/>
          <w:lang w:val="en-US" w:eastAsia="zh-CN"/>
        </w:rPr>
        <w:t>包装、运输</w:t>
      </w:r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>
      <w:pPr>
        <w:pStyle w:val="260"/>
        <w:bidi w:val="0"/>
        <w:rPr>
          <w:rFonts w:hint="eastAsia"/>
          <w:lang w:val="en-US" w:eastAsia="zh-CN"/>
        </w:rPr>
      </w:pPr>
      <w:bookmarkStart w:id="152" w:name="_Toc8451"/>
      <w:bookmarkStart w:id="153" w:name="_Toc2381"/>
      <w:bookmarkStart w:id="154" w:name="_Toc27902"/>
      <w:bookmarkStart w:id="155" w:name="_Toc3041"/>
      <w:bookmarkStart w:id="156" w:name="_Toc7780"/>
      <w:bookmarkStart w:id="157" w:name="_Toc13889"/>
      <w:r>
        <w:rPr>
          <w:rFonts w:hint="eastAsia"/>
          <w:lang w:val="en-US" w:eastAsia="zh-CN"/>
        </w:rPr>
        <w:t>包装</w:t>
      </w:r>
      <w:bookmarkEnd w:id="152"/>
      <w:bookmarkEnd w:id="153"/>
      <w:bookmarkEnd w:id="154"/>
      <w:bookmarkEnd w:id="155"/>
      <w:bookmarkEnd w:id="156"/>
      <w:bookmarkEnd w:id="157"/>
    </w:p>
    <w:p>
      <w:pPr>
        <w:pStyle w:val="258"/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包装采用通透性好的麻袋或编织袋，苗把之间</w:t>
      </w:r>
      <w:r>
        <w:rPr>
          <w:rFonts w:hint="eastAsia" w:cs="Times New Roman"/>
          <w:sz w:val="21"/>
          <w:szCs w:val="22"/>
          <w:lang w:val="en-US" w:eastAsia="zh-CN" w:bidi="ar-SA"/>
        </w:rPr>
        <w:t>应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混入</w:t>
      </w:r>
      <w:r>
        <w:rPr>
          <w:rFonts w:hint="eastAsia" w:cs="Times New Roman"/>
          <w:sz w:val="21"/>
          <w:szCs w:val="22"/>
          <w:lang w:val="en-US" w:eastAsia="zh-CN" w:bidi="ar-SA"/>
        </w:rPr>
        <w:t>少量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湿土。</w:t>
      </w:r>
    </w:p>
    <w:p>
      <w:pPr>
        <w:pStyle w:val="260"/>
        <w:bidi w:val="0"/>
        <w:rPr>
          <w:rFonts w:hint="eastAsia"/>
          <w:lang w:val="en-US" w:eastAsia="zh-CN"/>
        </w:rPr>
      </w:pPr>
      <w:bookmarkStart w:id="158" w:name="_Toc20054"/>
      <w:bookmarkStart w:id="159" w:name="_Toc1325"/>
      <w:bookmarkStart w:id="160" w:name="_Toc29509"/>
      <w:bookmarkStart w:id="161" w:name="_Toc21673"/>
      <w:bookmarkStart w:id="162" w:name="_Toc25888"/>
      <w:bookmarkStart w:id="163" w:name="_Toc9063"/>
      <w:r>
        <w:rPr>
          <w:rFonts w:hint="eastAsia"/>
          <w:lang w:val="en-US" w:eastAsia="zh-CN"/>
        </w:rPr>
        <w:t>运输</w:t>
      </w:r>
      <w:bookmarkEnd w:id="158"/>
      <w:bookmarkEnd w:id="159"/>
      <w:bookmarkEnd w:id="160"/>
      <w:bookmarkEnd w:id="161"/>
      <w:bookmarkEnd w:id="162"/>
      <w:bookmarkEnd w:id="163"/>
    </w:p>
    <w:p>
      <w:pPr>
        <w:spacing w:line="360" w:lineRule="auto"/>
        <w:ind w:left="0" w:leftChars="0" w:firstLine="367" w:firstLineChars="175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种苗远输时，</w:t>
      </w:r>
      <w:r>
        <w:rPr>
          <w:rFonts w:hint="eastAsia" w:ascii="宋体" w:cs="Times New Roman"/>
          <w:sz w:val="21"/>
          <w:szCs w:val="22"/>
          <w:lang w:val="en-US" w:eastAsia="zh-CN" w:bidi="ar-SA"/>
        </w:rPr>
        <w:t>应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注意通风降温。</w:t>
      </w:r>
    </w:p>
    <w:p>
      <w:pPr>
        <w:pStyle w:val="258"/>
        <w:ind w:left="0" w:leftChars="0" w:firstLine="0" w:firstLineChars="0"/>
      </w:pPr>
    </w:p>
    <w:p>
      <w:pPr>
        <w:pStyle w:val="258"/>
        <w:ind w:firstLine="420"/>
        <w:sectPr>
          <w:headerReference r:id="rId12" w:type="first"/>
          <w:footerReference r:id="rId13" w:type="first"/>
          <w:pgSz w:w="11907" w:h="16839"/>
          <w:pgMar w:top="1418" w:right="1134" w:bottom="1134" w:left="1418" w:header="1418" w:footer="1134" w:gutter="0"/>
          <w:lnNumType w:countBy="0" w:restart="continuous"/>
          <w:pgNumType w:fmt="decimal" w:start="1"/>
          <w:cols w:space="425" w:num="1"/>
          <w:rtlGutter w:val="0"/>
          <w:docGrid w:linePitch="312" w:charSpace="0"/>
        </w:sectPr>
      </w:pPr>
    </w:p>
    <w:p>
      <w:pPr>
        <w:pStyle w:val="349"/>
        <w:bidi w:val="0"/>
        <w:rPr>
          <w:rFonts w:hint="eastAsia"/>
          <w:lang w:eastAsia="zh-CN"/>
        </w:rPr>
      </w:pPr>
      <w:bookmarkStart w:id="164" w:name="标准附录"/>
      <w:bookmarkEnd w:id="164"/>
    </w:p>
    <w:p>
      <w:pPr>
        <w:pStyle w:val="350"/>
        <w:bidi w:val="0"/>
        <w:rPr>
          <w:rFonts w:hint="eastAsia"/>
          <w:lang w:eastAsia="zh-CN"/>
        </w:rPr>
      </w:pPr>
    </w:p>
    <w:p>
      <w:pPr>
        <w:pStyle w:val="274"/>
        <w:bidi w:val="0"/>
        <w:jc w:val="center"/>
        <w:rPr>
          <w:rFonts w:hint="eastAsia"/>
          <w:lang w:eastAsia="zh-CN"/>
        </w:rPr>
      </w:pPr>
      <w:bookmarkStart w:id="165" w:name="_Toc17265"/>
      <w:bookmarkStart w:id="166" w:name="_Toc18884"/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>（资料性）</w:t>
      </w:r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>主要有害生物防治常用药剂和方法</w:t>
      </w:r>
      <w:bookmarkEnd w:id="165"/>
      <w:bookmarkEnd w:id="166"/>
    </w:p>
    <w:p>
      <w:pPr>
        <w:pStyle w:val="275"/>
        <w:bidi w:val="0"/>
        <w:rPr>
          <w:rFonts w:hint="eastAsia"/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val="en-US" w:eastAsia="zh-CN"/>
        </w:rPr>
        <w:t>主要有害生物防治常用药剂和方法</w:t>
      </w:r>
    </w:p>
    <w:tbl>
      <w:tblPr>
        <w:tblStyle w:val="8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695"/>
        <w:gridCol w:w="5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748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防治对象</w:t>
            </w:r>
          </w:p>
        </w:tc>
        <w:tc>
          <w:tcPr>
            <w:tcW w:w="1695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药剂</w:t>
            </w:r>
          </w:p>
        </w:tc>
        <w:tc>
          <w:tcPr>
            <w:tcW w:w="564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防治方法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Merge w:val="restart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根腐病</w:t>
            </w:r>
          </w:p>
        </w:tc>
        <w:tc>
          <w:tcPr>
            <w:tcW w:w="1695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枯草芽孢杆菌</w:t>
            </w:r>
          </w:p>
        </w:tc>
        <w:tc>
          <w:tcPr>
            <w:tcW w:w="564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枯草芽孢杆菌3000倍液在发病初期灌根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Merge w:val="continue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95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大蒜素</w:t>
            </w:r>
          </w:p>
        </w:tc>
        <w:tc>
          <w:tcPr>
            <w:tcW w:w="564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5%大蒜素微乳剂500ml/667</w:t>
            </w:r>
            <w:r>
              <w:rPr>
                <w:rFonts w:hint="default" w:ascii="Arial" w:hAnsi="Arial" w:cs="Arial"/>
                <w:sz w:val="18"/>
                <w:szCs w:val="18"/>
                <w:vertAlign w:val="baseline"/>
                <w:lang w:val="en-US" w:eastAsia="zh-CN"/>
              </w:rPr>
              <w:t>͠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㎡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灌根处理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白粉病</w:t>
            </w:r>
          </w:p>
        </w:tc>
        <w:tc>
          <w:tcPr>
            <w:tcW w:w="1695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代森锌</w:t>
            </w:r>
          </w:p>
        </w:tc>
        <w:tc>
          <w:tcPr>
            <w:tcW w:w="564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用65%的代森锌500倍液连续喷雾防治，每隔10d喷1次，连续喷3～4次。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金针虫、蛴螬</w:t>
            </w:r>
          </w:p>
        </w:tc>
        <w:tc>
          <w:tcPr>
            <w:tcW w:w="1695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绿僵菌</w:t>
            </w:r>
          </w:p>
        </w:tc>
        <w:tc>
          <w:tcPr>
            <w:tcW w:w="564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用绿僵菌2x</w:t>
            </w: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eastAsia" w:hAnsi="Times New Roman" w:cs="Times New Roman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孢子/g颗粒剂土壤处理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8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蚜虫</w:t>
            </w:r>
          </w:p>
        </w:tc>
        <w:tc>
          <w:tcPr>
            <w:tcW w:w="1695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菜虫净</w:t>
            </w:r>
          </w:p>
        </w:tc>
        <w:tc>
          <w:tcPr>
            <w:tcW w:w="5640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每亩用100ml兑水50kg～60kg喷雾防治。</w:t>
            </w:r>
          </w:p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田间投放黄色粘虫板或黄色条板。</w:t>
            </w:r>
          </w:p>
        </w:tc>
      </w:tr>
    </w:tbl>
    <w:p>
      <w:pPr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  <w:bookmarkStart w:id="167" w:name="标准参考文献"/>
      <w:bookmarkEnd w:id="167"/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pStyle w:val="25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57"/>
        <w:bidi w:val="0"/>
        <w:jc w:val="center"/>
        <w:rPr>
          <w:rFonts w:hint="eastAsia"/>
          <w:lang w:eastAsia="zh-CN"/>
        </w:rPr>
      </w:pPr>
      <w:bookmarkStart w:id="168" w:name="_Toc4615"/>
    </w:p>
    <w:p>
      <w:pPr>
        <w:pStyle w:val="257"/>
        <w:bidi w:val="0"/>
        <w:jc w:val="center"/>
        <w:rPr>
          <w:rFonts w:hint="eastAsia"/>
          <w:lang w:eastAsia="zh-CN"/>
        </w:rPr>
      </w:pPr>
    </w:p>
    <w:p>
      <w:pPr>
        <w:pStyle w:val="257"/>
        <w:bidi w:val="0"/>
        <w:jc w:val="center"/>
        <w:rPr>
          <w:rFonts w:hint="eastAsia"/>
          <w:lang w:eastAsia="zh-CN"/>
        </w:rPr>
      </w:pPr>
      <w:bookmarkStart w:id="169" w:name="_Toc32488"/>
      <w:r>
        <w:rPr>
          <w:rFonts w:hint="eastAsia"/>
          <w:lang w:eastAsia="zh-CN"/>
        </w:rPr>
        <w:t>参  考  文  献</w:t>
      </w:r>
      <w:bookmarkEnd w:id="168"/>
      <w:bookmarkEnd w:id="169"/>
      <w:r>
        <w:rPr>
          <w:rFonts w:hint="eastAsia"/>
          <w:lang w:eastAsia="zh-CN"/>
        </w:rPr>
        <w:t xml:space="preserve"> </w:t>
      </w:r>
    </w:p>
    <w:p>
      <w:pPr>
        <w:pStyle w:val="258"/>
        <w:bidi w:val="0"/>
        <w:rPr>
          <w:rFonts w:hint="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[1] 张丽萍，史静，杨春清等. 黄芪种子规范化生产操作规程SOP的制定[J]. 世界科学技术.2005,6(7):72-78+66+95.</w:t>
      </w: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 w:val="0"/>
          <w:sz w:val="21"/>
          <w:lang w:val="en-US" w:eastAsia="zh-CN"/>
        </w:rPr>
      </w:pPr>
      <w:r>
        <w:rPr>
          <w:rFonts w:hint="eastAsia" w:ascii="黑体" w:hAnsi="黑体" w:eastAsia="黑体" w:cs="黑体"/>
          <w:b/>
          <w:sz w:val="21"/>
          <w:lang w:val="en-US" w:eastAsia="zh-CN"/>
        </w:rPr>
        <w:t>━━━━━━━━━━━</w:t>
      </w:r>
    </w:p>
    <w:sectPr>
      <w:pgSz w:w="11907" w:h="16839"/>
      <w:pgMar w:top="1418" w:right="1134" w:bottom="1134" w:left="1418" w:header="1418" w:footer="1134" w:gutter="0"/>
      <w:lnNumType w:countBy="0" w:restart="continuous"/>
      <w:pgNumType w:fmt="decimal"/>
      <w:cols w:space="425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ritannic Bold">
    <w:altName w:val="Segoe Print"/>
    <w:panose1 w:val="020B0903060703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1"/>
      <w:ind w:right="360" w:firstLine="360" w:firstLineChars="0"/>
      <w:rPr>
        <w:rStyle w:val="23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/>
        <w:lang w:eastAsia="zh-CN"/>
      </w:rPr>
    </w:pPr>
    <w:r>
      <w:rPr>
        <w:rStyle w:val="234"/>
        <w:rFonts w:hint="eastAsia"/>
        <w:lang w:eastAsia="zh-CN"/>
      </w:rPr>
      <w:fldChar w:fldCharType="begin"/>
    </w:r>
    <w:r>
      <w:rPr>
        <w:rStyle w:val="234"/>
        <w:rFonts w:hint="eastAsia"/>
        <w:lang w:eastAsia="zh-CN"/>
      </w:rPr>
      <w:instrText xml:space="preserve"> PAGE  </w:instrText>
    </w:r>
    <w:r>
      <w:rPr>
        <w:rStyle w:val="234"/>
        <w:rFonts w:hint="eastAsia"/>
        <w:lang w:eastAsia="zh-CN"/>
      </w:rPr>
      <w:fldChar w:fldCharType="separate"/>
    </w:r>
    <w:r>
      <w:rPr>
        <w:rStyle w:val="234"/>
        <w:rFonts w:hint="eastAsia"/>
        <w:lang w:eastAsia="zh-CN"/>
      </w:rPr>
      <w:t>I</w:t>
    </w:r>
    <w:r>
      <w:rPr>
        <w:rStyle w:val="234"/>
        <w:rFonts w:hint="eastAsia"/>
        <w:lang w:eastAsia="zh-CN"/>
      </w:rPr>
      <w:fldChar w:fldCharType="end"/>
    </w:r>
  </w:p>
  <w:p>
    <w:pPr>
      <w:pStyle w:val="59"/>
      <w:ind w:firstLine="360" w:firstLineChars="0"/>
      <w:rPr>
        <w:rFonts w:hint="eastAsia"/>
        <w:lang w:eastAsia="zh-CN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59"/>
      <w:ind w:firstLine="36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4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  <w:bidi w:val="0"/>
      <w:rPr>
        <w:rFonts w:hint="eastAsia"/>
        <w:lang w:eastAsia="zh-C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7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5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2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20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23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9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6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30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079102AD"/>
    <w:multiLevelType w:val="multilevel"/>
    <w:tmpl w:val="079102AD"/>
    <w:lvl w:ilvl="0" w:tentative="0">
      <w:start w:val="1"/>
      <w:numFmt w:val="decimal"/>
      <w:pStyle w:val="304"/>
      <w:suff w:val="nothing"/>
      <w:lvlText w:val="注%1："/>
      <w:lvlJc w:val="left"/>
      <w:pPr>
        <w:ind w:left="811" w:hanging="448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>
    <w:nsid w:val="09227E31"/>
    <w:multiLevelType w:val="multilevel"/>
    <w:tmpl w:val="09227E31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1" w:tentative="0">
      <w:start w:val="1"/>
      <w:numFmt w:val="decimal"/>
      <w:pStyle w:val="301"/>
      <w:suff w:val="nothing"/>
      <w:lvlText w:val="表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  <w14:cntxtalts w14:val="0"/>
      </w:rPr>
    </w:lvl>
    <w:lvl w:ilvl="2" w:tentative="0">
      <w:start w:val="1"/>
      <w:numFmt w:val="none"/>
      <w:pStyle w:val="317"/>
      <w:suff w:val="nothing"/>
      <w:lvlText w:val="%1表%2　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>
    <w:nsid w:val="0AE367E9"/>
    <w:multiLevelType w:val="multilevel"/>
    <w:tmpl w:val="0AE367E9"/>
    <w:lvl w:ilvl="0" w:tentative="0">
      <w:start w:val="1"/>
      <w:numFmt w:val="none"/>
      <w:pStyle w:val="292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>
    <w:nsid w:val="0D46713A"/>
    <w:multiLevelType w:val="multilevel"/>
    <w:tmpl w:val="0D46713A"/>
    <w:lvl w:ilvl="0" w:tentative="0">
      <w:start w:val="1"/>
      <w:numFmt w:val="bullet"/>
      <w:pStyle w:val="326"/>
      <w:lvlText w:val=""/>
      <w:lvlJc w:val="left"/>
      <w:pPr>
        <w:ind w:left="20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2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04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46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88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30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72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14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566" w:hanging="420"/>
      </w:pPr>
      <w:rPr>
        <w:rFonts w:hint="default" w:ascii="Wingdings" w:hAnsi="Wingdings"/>
      </w:rPr>
    </w:lvl>
  </w:abstractNum>
  <w:abstractNum w:abstractNumId="14">
    <w:nsid w:val="1FC91163"/>
    <w:multiLevelType w:val="multilevel"/>
    <w:tmpl w:val="1FC91163"/>
    <w:lvl w:ilvl="0" w:tentative="0">
      <w:start w:val="1"/>
      <w:numFmt w:val="decimal"/>
      <w:pStyle w:val="259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6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26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90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95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300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>
    <w:nsid w:val="2A8F7113"/>
    <w:multiLevelType w:val="multilevel"/>
    <w:tmpl w:val="2A8F7113"/>
    <w:lvl w:ilvl="0" w:tentative="0">
      <w:start w:val="1"/>
      <w:numFmt w:val="upperLetter"/>
      <w:pStyle w:val="350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81"/>
      <w:suff w:val="nothing"/>
      <w:lvlText w:val="图%1.%2　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>
    <w:nsid w:val="41A64E98"/>
    <w:multiLevelType w:val="multilevel"/>
    <w:tmpl w:val="41A64E98"/>
    <w:lvl w:ilvl="0" w:tentative="0">
      <w:start w:val="1"/>
      <w:numFmt w:val="decimal"/>
      <w:pStyle w:val="306"/>
      <w:lvlText w:val="0.%1"/>
      <w:lvlJc w:val="left"/>
      <w:pPr>
        <w:tabs>
          <w:tab w:val="left" w:pos="36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347"/>
      <w:lvlText w:val="0.%1.%2"/>
      <w:lvlJc w:val="left"/>
      <w:pPr>
        <w:tabs>
          <w:tab w:val="left" w:pos="72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7">
    <w:nsid w:val="44C50F90"/>
    <w:multiLevelType w:val="multilevel"/>
    <w:tmpl w:val="44C50F90"/>
    <w:lvl w:ilvl="0" w:tentative="0">
      <w:start w:val="1"/>
      <w:numFmt w:val="lowerLetter"/>
      <w:pStyle w:val="305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9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8">
    <w:nsid w:val="4B733A5F"/>
    <w:multiLevelType w:val="multilevel"/>
    <w:tmpl w:val="4B733A5F"/>
    <w:lvl w:ilvl="0" w:tentative="0">
      <w:start w:val="1"/>
      <w:numFmt w:val="decimal"/>
      <w:pStyle w:val="307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9">
    <w:nsid w:val="55E02EF4"/>
    <w:multiLevelType w:val="multilevel"/>
    <w:tmpl w:val="55E02EF4"/>
    <w:lvl w:ilvl="0" w:tentative="0">
      <w:start w:val="1"/>
      <w:numFmt w:val="decimal"/>
      <w:pStyle w:val="302"/>
      <w:lvlText w:val="图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>
    <w:nsid w:val="5B7E3733"/>
    <w:multiLevelType w:val="multilevel"/>
    <w:tmpl w:val="5B7E3733"/>
    <w:lvl w:ilvl="0" w:tentative="0">
      <w:start w:val="1"/>
      <w:numFmt w:val="decimal"/>
      <w:pStyle w:val="296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1">
    <w:nsid w:val="60B55DC2"/>
    <w:multiLevelType w:val="multilevel"/>
    <w:tmpl w:val="60B55DC2"/>
    <w:lvl w:ilvl="0" w:tentative="0">
      <w:start w:val="1"/>
      <w:numFmt w:val="upperLetter"/>
      <w:pStyle w:val="349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275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2" w:tentative="0">
      <w:start w:val="1"/>
      <w:numFmt w:val="none"/>
      <w:pStyle w:val="318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1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2">
    <w:nsid w:val="657D3FBC"/>
    <w:multiLevelType w:val="multilevel"/>
    <w:tmpl w:val="657D3FBC"/>
    <w:lvl w:ilvl="0" w:tentative="0">
      <w:start w:val="1"/>
      <w:numFmt w:val="upperLetter"/>
      <w:pStyle w:val="27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276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277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78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79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80"/>
      <w:suff w:val="nothing"/>
      <w:lvlText w:val="%1.%2.%3.%4.%5.%6　"/>
      <w:lvlJc w:val="left"/>
      <w:pPr>
        <w:ind w:left="0" w:firstLine="0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6" w:tentative="0">
      <w:start w:val="1"/>
      <w:numFmt w:val="decimal"/>
      <w:pStyle w:val="282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3">
    <w:nsid w:val="6DBF04F4"/>
    <w:multiLevelType w:val="multilevel"/>
    <w:tmpl w:val="6DBF04F4"/>
    <w:lvl w:ilvl="0" w:tentative="0">
      <w:start w:val="1"/>
      <w:numFmt w:val="none"/>
      <w:pStyle w:val="303"/>
      <w:suff w:val="nothing"/>
      <w:lvlText w:val="%1注："/>
      <w:lvlJc w:val="left"/>
      <w:pPr>
        <w:ind w:left="783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83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83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83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83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83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83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83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83" w:hanging="363"/>
      </w:pPr>
      <w:rPr>
        <w:rFonts w:hint="eastAsia"/>
      </w:rPr>
    </w:lvl>
  </w:abstractNum>
  <w:abstractNum w:abstractNumId="24">
    <w:nsid w:val="763A6836"/>
    <w:multiLevelType w:val="multilevel"/>
    <w:tmpl w:val="763A6836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1" w:tentative="0">
      <w:start w:val="1"/>
      <w:numFmt w:val="decimal"/>
      <w:pStyle w:val="308"/>
      <w:suff w:val="nothing"/>
      <w:lvlText w:val="%1%2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2" w:tentative="0">
      <w:start w:val="1"/>
      <w:numFmt w:val="decimal"/>
      <w:pStyle w:val="309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3" w:tentative="0">
      <w:start w:val="1"/>
      <w:numFmt w:val="decimal"/>
      <w:pStyle w:val="310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4" w:tentative="0">
      <w:start w:val="1"/>
      <w:numFmt w:val="decimal"/>
      <w:pStyle w:val="311"/>
      <w:suff w:val="nothing"/>
      <w:lvlText w:val="表%1%2.%3.%4-%5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5" w:tentative="0">
      <w:start w:val="1"/>
      <w:numFmt w:val="decimal"/>
      <w:lvlRestart w:val="4"/>
      <w:pStyle w:val="312"/>
      <w:suff w:val="nothing"/>
      <w:lvlText w:val="%1图%2.%3.%4-%6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6" w:tentative="0">
      <w:start w:val="1"/>
      <w:numFmt w:val="decimal"/>
      <w:lvlRestart w:val="4"/>
      <w:pStyle w:val="313"/>
      <w:suff w:val="nothing"/>
      <w:lvlText w:val="(%2.%3.%4-%7)"/>
      <w:lvlJc w:val="center"/>
      <w:pPr>
        <w:ind w:left="288" w:firstLine="288"/>
      </w:pPr>
      <w:rPr>
        <w:rFonts w:hint="eastAsia" w:ascii="黑体" w:hAnsi="Times New Roman" w:eastAsia="黑体"/>
        <w:b/>
        <w:i w:val="0"/>
        <w:sz w:val="21"/>
      </w:rPr>
    </w:lvl>
    <w:lvl w:ilvl="7" w:tentative="0">
      <w:start w:val="1"/>
      <w:numFmt w:val="decimal"/>
      <w:lvlRestart w:val="2"/>
      <w:pStyle w:val="315"/>
      <w:lvlText w:val="    %1%8"/>
      <w:lvlJc w:val="left"/>
      <w:pPr>
        <w:tabs>
          <w:tab w:val="left" w:pos="720"/>
        </w:tabs>
        <w:ind w:left="0" w:firstLine="0"/>
      </w:pPr>
      <w:rPr>
        <w:rFonts w:hint="eastAsia" w:ascii="黑体" w:eastAsia="黑体"/>
        <w:b/>
        <w:i w:val="0"/>
        <w:sz w:val="21"/>
      </w:rPr>
    </w:lvl>
    <w:lvl w:ilvl="8" w:tentative="0">
      <w:start w:val="1"/>
      <w:numFmt w:val="decimal"/>
      <w:lvlRestart w:val="2"/>
      <w:pStyle w:val="314"/>
      <w:lvlText w:val="%2.0.%9"/>
      <w:lvlJc w:val="left"/>
      <w:pPr>
        <w:tabs>
          <w:tab w:val="left" w:pos="720"/>
        </w:tabs>
        <w:ind w:left="0" w:firstLine="0"/>
      </w:pPr>
      <w:rPr>
        <w:rFonts w:hint="eastAsia" w:ascii="黑体" w:hAnsi="华文细黑" w:eastAsia="黑体"/>
        <w:b/>
        <w:i w:val="0"/>
        <w:sz w:val="21"/>
      </w:rPr>
    </w:lvl>
  </w:abstractNum>
  <w:abstractNum w:abstractNumId="25">
    <w:nsid w:val="76933334"/>
    <w:multiLevelType w:val="multilevel"/>
    <w:tmpl w:val="76933334"/>
    <w:lvl w:ilvl="0" w:tentative="0">
      <w:start w:val="1"/>
      <w:numFmt w:val="none"/>
      <w:pStyle w:val="285"/>
      <w:lvlText w:val="%1——"/>
      <w:lvlJc w:val="left"/>
      <w:pPr>
        <w:tabs>
          <w:tab w:val="left" w:pos="1140"/>
        </w:tabs>
        <w:ind w:left="84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2"/>
  </w:num>
  <w:num w:numId="13">
    <w:abstractNumId w:val="21"/>
  </w:num>
  <w:num w:numId="14">
    <w:abstractNumId w:val="15"/>
  </w:num>
  <w:num w:numId="15">
    <w:abstractNumId w:val="25"/>
  </w:num>
  <w:num w:numId="16">
    <w:abstractNumId w:val="12"/>
  </w:num>
  <w:num w:numId="17">
    <w:abstractNumId w:val="17"/>
  </w:num>
  <w:num w:numId="18">
    <w:abstractNumId w:val="20"/>
  </w:num>
  <w:num w:numId="19">
    <w:abstractNumId w:val="11"/>
  </w:num>
  <w:num w:numId="20">
    <w:abstractNumId w:val="19"/>
  </w:num>
  <w:num w:numId="21">
    <w:abstractNumId w:val="23"/>
  </w:num>
  <w:num w:numId="22">
    <w:abstractNumId w:val="10"/>
  </w:num>
  <w:num w:numId="23">
    <w:abstractNumId w:val="16"/>
  </w:num>
  <w:num w:numId="24">
    <w:abstractNumId w:val="18"/>
  </w:num>
  <w:num w:numId="25">
    <w:abstractNumId w:val="24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mirrorMargins w:val="1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210"/>
  <w:evenAndOddHeaders w:val="1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D64F0E"/>
    <w:rsid w:val="00006548"/>
    <w:rsid w:val="00027BD3"/>
    <w:rsid w:val="00036B39"/>
    <w:rsid w:val="000372EA"/>
    <w:rsid w:val="00040BBF"/>
    <w:rsid w:val="00053FB5"/>
    <w:rsid w:val="00075DD9"/>
    <w:rsid w:val="00076F59"/>
    <w:rsid w:val="000810CB"/>
    <w:rsid w:val="00083185"/>
    <w:rsid w:val="0009271F"/>
    <w:rsid w:val="0009648F"/>
    <w:rsid w:val="000A568D"/>
    <w:rsid w:val="000A6E5F"/>
    <w:rsid w:val="000B6ECB"/>
    <w:rsid w:val="000C21DC"/>
    <w:rsid w:val="000C2EFF"/>
    <w:rsid w:val="000D2D03"/>
    <w:rsid w:val="000E2B29"/>
    <w:rsid w:val="000E7B1D"/>
    <w:rsid w:val="00123BF9"/>
    <w:rsid w:val="00127602"/>
    <w:rsid w:val="00144633"/>
    <w:rsid w:val="001517CF"/>
    <w:rsid w:val="00164C6D"/>
    <w:rsid w:val="00170B1F"/>
    <w:rsid w:val="00172236"/>
    <w:rsid w:val="001748CC"/>
    <w:rsid w:val="0017737E"/>
    <w:rsid w:val="001830DE"/>
    <w:rsid w:val="001A5BF9"/>
    <w:rsid w:val="001C2054"/>
    <w:rsid w:val="001D5AA4"/>
    <w:rsid w:val="001D71BA"/>
    <w:rsid w:val="001F0E09"/>
    <w:rsid w:val="00216264"/>
    <w:rsid w:val="00227E52"/>
    <w:rsid w:val="002310FD"/>
    <w:rsid w:val="00235CB0"/>
    <w:rsid w:val="00247E6D"/>
    <w:rsid w:val="00267674"/>
    <w:rsid w:val="00277D91"/>
    <w:rsid w:val="00282FBE"/>
    <w:rsid w:val="00287FD8"/>
    <w:rsid w:val="002917C0"/>
    <w:rsid w:val="002A3BE2"/>
    <w:rsid w:val="002A4DD0"/>
    <w:rsid w:val="002A6B18"/>
    <w:rsid w:val="002C6C4A"/>
    <w:rsid w:val="002E08C1"/>
    <w:rsid w:val="002E5F3F"/>
    <w:rsid w:val="002F1862"/>
    <w:rsid w:val="00303CA5"/>
    <w:rsid w:val="00316CBA"/>
    <w:rsid w:val="00324802"/>
    <w:rsid w:val="00337CA1"/>
    <w:rsid w:val="00366B99"/>
    <w:rsid w:val="00397925"/>
    <w:rsid w:val="003A4F7B"/>
    <w:rsid w:val="003B65E2"/>
    <w:rsid w:val="003C5C82"/>
    <w:rsid w:val="003D636C"/>
    <w:rsid w:val="003E7CE2"/>
    <w:rsid w:val="003F2DA8"/>
    <w:rsid w:val="003F764E"/>
    <w:rsid w:val="00406CC1"/>
    <w:rsid w:val="0041207A"/>
    <w:rsid w:val="00436ECC"/>
    <w:rsid w:val="004414E6"/>
    <w:rsid w:val="00447DDB"/>
    <w:rsid w:val="004548A9"/>
    <w:rsid w:val="004619AC"/>
    <w:rsid w:val="00463A10"/>
    <w:rsid w:val="00466FF2"/>
    <w:rsid w:val="00467339"/>
    <w:rsid w:val="004826C9"/>
    <w:rsid w:val="0048668C"/>
    <w:rsid w:val="00490088"/>
    <w:rsid w:val="004A3243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62526"/>
    <w:rsid w:val="00573966"/>
    <w:rsid w:val="00573CAA"/>
    <w:rsid w:val="00596BBE"/>
    <w:rsid w:val="005A35D5"/>
    <w:rsid w:val="005A406C"/>
    <w:rsid w:val="005D5966"/>
    <w:rsid w:val="00601445"/>
    <w:rsid w:val="00611BD0"/>
    <w:rsid w:val="0061695B"/>
    <w:rsid w:val="00630366"/>
    <w:rsid w:val="00630EC5"/>
    <w:rsid w:val="0065094C"/>
    <w:rsid w:val="00674639"/>
    <w:rsid w:val="00681844"/>
    <w:rsid w:val="006A01D7"/>
    <w:rsid w:val="006A2E8B"/>
    <w:rsid w:val="006B643E"/>
    <w:rsid w:val="006D12A2"/>
    <w:rsid w:val="006D6D2B"/>
    <w:rsid w:val="006E740A"/>
    <w:rsid w:val="006E7E4F"/>
    <w:rsid w:val="006F1FF9"/>
    <w:rsid w:val="007064A5"/>
    <w:rsid w:val="00715BD0"/>
    <w:rsid w:val="00743CC7"/>
    <w:rsid w:val="0074732A"/>
    <w:rsid w:val="00767B2F"/>
    <w:rsid w:val="00773A5E"/>
    <w:rsid w:val="00776408"/>
    <w:rsid w:val="0078233D"/>
    <w:rsid w:val="007D2FAA"/>
    <w:rsid w:val="007E0206"/>
    <w:rsid w:val="007E3F4F"/>
    <w:rsid w:val="007F69B9"/>
    <w:rsid w:val="00811C33"/>
    <w:rsid w:val="00852FD6"/>
    <w:rsid w:val="0086798F"/>
    <w:rsid w:val="008708FD"/>
    <w:rsid w:val="008C0296"/>
    <w:rsid w:val="008C5347"/>
    <w:rsid w:val="008D2560"/>
    <w:rsid w:val="008D383F"/>
    <w:rsid w:val="008E1AE0"/>
    <w:rsid w:val="008E351F"/>
    <w:rsid w:val="00901DA3"/>
    <w:rsid w:val="009535DF"/>
    <w:rsid w:val="0095659D"/>
    <w:rsid w:val="009676B1"/>
    <w:rsid w:val="009721AF"/>
    <w:rsid w:val="00995610"/>
    <w:rsid w:val="009C0704"/>
    <w:rsid w:val="009D19E4"/>
    <w:rsid w:val="009F7CDF"/>
    <w:rsid w:val="00A329C9"/>
    <w:rsid w:val="00A342E2"/>
    <w:rsid w:val="00A35C5B"/>
    <w:rsid w:val="00A40CF5"/>
    <w:rsid w:val="00A470A7"/>
    <w:rsid w:val="00A473CC"/>
    <w:rsid w:val="00A832D8"/>
    <w:rsid w:val="00A87239"/>
    <w:rsid w:val="00A94542"/>
    <w:rsid w:val="00AA4903"/>
    <w:rsid w:val="00AA4BDA"/>
    <w:rsid w:val="00AB12B4"/>
    <w:rsid w:val="00AC06BB"/>
    <w:rsid w:val="00AC3ACC"/>
    <w:rsid w:val="00AD7ECC"/>
    <w:rsid w:val="00AE108D"/>
    <w:rsid w:val="00AE3FF9"/>
    <w:rsid w:val="00AF2B0D"/>
    <w:rsid w:val="00AF2DD6"/>
    <w:rsid w:val="00B01D8B"/>
    <w:rsid w:val="00B0338D"/>
    <w:rsid w:val="00B0682B"/>
    <w:rsid w:val="00B06F9F"/>
    <w:rsid w:val="00B13E76"/>
    <w:rsid w:val="00B23075"/>
    <w:rsid w:val="00B454CA"/>
    <w:rsid w:val="00B55871"/>
    <w:rsid w:val="00B565EB"/>
    <w:rsid w:val="00B614B1"/>
    <w:rsid w:val="00B74D02"/>
    <w:rsid w:val="00B807AF"/>
    <w:rsid w:val="00B90349"/>
    <w:rsid w:val="00BC6C4C"/>
    <w:rsid w:val="00BE027D"/>
    <w:rsid w:val="00BF3DB8"/>
    <w:rsid w:val="00BF533F"/>
    <w:rsid w:val="00C12F1C"/>
    <w:rsid w:val="00C22264"/>
    <w:rsid w:val="00C231D9"/>
    <w:rsid w:val="00C26FF1"/>
    <w:rsid w:val="00C7294C"/>
    <w:rsid w:val="00C7721B"/>
    <w:rsid w:val="00C80B64"/>
    <w:rsid w:val="00C825D9"/>
    <w:rsid w:val="00CA1496"/>
    <w:rsid w:val="00CA612B"/>
    <w:rsid w:val="00CB182F"/>
    <w:rsid w:val="00CC19EC"/>
    <w:rsid w:val="00CE0378"/>
    <w:rsid w:val="00CF740D"/>
    <w:rsid w:val="00D10F52"/>
    <w:rsid w:val="00D20260"/>
    <w:rsid w:val="00D32102"/>
    <w:rsid w:val="00D679FB"/>
    <w:rsid w:val="00D77681"/>
    <w:rsid w:val="00DC300E"/>
    <w:rsid w:val="00DC5920"/>
    <w:rsid w:val="00DE6C5C"/>
    <w:rsid w:val="00DE79D1"/>
    <w:rsid w:val="00DF3719"/>
    <w:rsid w:val="00E04DBB"/>
    <w:rsid w:val="00E05C6A"/>
    <w:rsid w:val="00E05E73"/>
    <w:rsid w:val="00E12E32"/>
    <w:rsid w:val="00E245C7"/>
    <w:rsid w:val="00E307EE"/>
    <w:rsid w:val="00E30917"/>
    <w:rsid w:val="00E33A22"/>
    <w:rsid w:val="00E376DF"/>
    <w:rsid w:val="00E558DE"/>
    <w:rsid w:val="00E638E4"/>
    <w:rsid w:val="00E73319"/>
    <w:rsid w:val="00E83142"/>
    <w:rsid w:val="00E87A23"/>
    <w:rsid w:val="00E96E93"/>
    <w:rsid w:val="00ED1474"/>
    <w:rsid w:val="00ED7098"/>
    <w:rsid w:val="00EE4858"/>
    <w:rsid w:val="00EE4A1A"/>
    <w:rsid w:val="00F17B6A"/>
    <w:rsid w:val="00F252F0"/>
    <w:rsid w:val="00F25CA4"/>
    <w:rsid w:val="00F66499"/>
    <w:rsid w:val="00F73EF2"/>
    <w:rsid w:val="00F8041E"/>
    <w:rsid w:val="00FD74B3"/>
    <w:rsid w:val="0286721C"/>
    <w:rsid w:val="053D72B5"/>
    <w:rsid w:val="0C026EFE"/>
    <w:rsid w:val="0D871B51"/>
    <w:rsid w:val="105700BD"/>
    <w:rsid w:val="135B5CB0"/>
    <w:rsid w:val="14144C94"/>
    <w:rsid w:val="167A01A2"/>
    <w:rsid w:val="19075F60"/>
    <w:rsid w:val="1DA544B2"/>
    <w:rsid w:val="20E62350"/>
    <w:rsid w:val="22E3141A"/>
    <w:rsid w:val="25863479"/>
    <w:rsid w:val="265A1316"/>
    <w:rsid w:val="26B46024"/>
    <w:rsid w:val="286139B1"/>
    <w:rsid w:val="29707BCB"/>
    <w:rsid w:val="2B0D1559"/>
    <w:rsid w:val="2B5D7ED1"/>
    <w:rsid w:val="2D436A2E"/>
    <w:rsid w:val="2F7A0D9F"/>
    <w:rsid w:val="32375D22"/>
    <w:rsid w:val="33043022"/>
    <w:rsid w:val="34F73E77"/>
    <w:rsid w:val="3D1743AA"/>
    <w:rsid w:val="44F54095"/>
    <w:rsid w:val="4BD64F0E"/>
    <w:rsid w:val="4DD67050"/>
    <w:rsid w:val="4FB411C0"/>
    <w:rsid w:val="51372FE4"/>
    <w:rsid w:val="541F3A4B"/>
    <w:rsid w:val="5D471243"/>
    <w:rsid w:val="5E5F4EEB"/>
    <w:rsid w:val="5EA85C5E"/>
    <w:rsid w:val="622018C7"/>
    <w:rsid w:val="65FB36C6"/>
    <w:rsid w:val="66210A2D"/>
    <w:rsid w:val="688E7F92"/>
    <w:rsid w:val="689F667E"/>
    <w:rsid w:val="68F22412"/>
    <w:rsid w:val="6B5B7E23"/>
    <w:rsid w:val="6B5E18AA"/>
    <w:rsid w:val="6D202B4E"/>
    <w:rsid w:val="74033608"/>
    <w:rsid w:val="75545202"/>
    <w:rsid w:val="77C67DE8"/>
    <w:rsid w:val="79E0118F"/>
    <w:rsid w:val="7A147A00"/>
    <w:rsid w:val="7A923D51"/>
    <w:rsid w:val="7B552779"/>
    <w:rsid w:val="7DE7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nhideWhenUsed="0" w:uiPriority="0" w:name="toc 1"/>
    <w:lsdException w:qFormat="1" w:unhideWhenUsed="0" w:uiPriority="39" w:semiHidden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0" w:name="header"/>
    <w:lsdException w:qFormat="1" w:unhideWhenUsed="0" w:uiPriority="0" w:name="footer"/>
    <w:lsdException w:qFormat="1" w:uiPriority="99" w:name="index heading"/>
    <w:lsdException w:qFormat="1" w:unhideWhenUsed="0" w:uiPriority="0" w:semiHidden="0" w:name="caption"/>
    <w:lsdException w:qFormat="1" w:unhideWhenUsed="0" w:uiPriority="0" w:name="table of figures"/>
    <w:lsdException w:qFormat="1" w:uiPriority="99" w:name="envelope address"/>
    <w:lsdException w:qFormat="1" w:uiPriority="99" w:name="envelope return"/>
    <w:lsdException w:qFormat="1" w:unhideWhenUsed="0" w:uiPriority="0" w:name="footnote reference"/>
    <w:lsdException w:qFormat="1" w:uiPriority="99" w:name="annotation reference"/>
    <w:lsdException w:qFormat="1" w:uiPriority="99" w:name="line number"/>
    <w:lsdException w:qFormat="1" w:unhideWhenUsed="0" w:uiPriority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name="Balloon Text"/>
    <w:lsdException w:qFormat="1" w:unhideWhenUsed="0" w:uiPriority="59" w:semiHidden="0" w:name="Table Grid"/>
    <w:lsdException w:qFormat="1"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60"/>
    <w:semiHidden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4"/>
    <w:next w:val="1"/>
    <w:semiHidden/>
    <w:qFormat/>
    <w:uiPriority w:val="0"/>
    <w:pPr>
      <w:ind w:left="500" w:leftChars="500"/>
    </w:pPr>
  </w:style>
  <w:style w:type="paragraph" w:styleId="14">
    <w:name w:val="toc 6"/>
    <w:basedOn w:val="15"/>
    <w:next w:val="1"/>
    <w:semiHidden/>
    <w:qFormat/>
    <w:uiPriority w:val="0"/>
    <w:pPr>
      <w:ind w:left="400" w:leftChars="400"/>
    </w:pPr>
  </w:style>
  <w:style w:type="paragraph" w:styleId="15">
    <w:name w:val="toc 5"/>
    <w:basedOn w:val="16"/>
    <w:next w:val="1"/>
    <w:semiHidden/>
    <w:qFormat/>
    <w:uiPriority w:val="0"/>
    <w:pPr>
      <w:ind w:left="300" w:leftChars="300"/>
    </w:pPr>
  </w:style>
  <w:style w:type="paragraph" w:styleId="16">
    <w:name w:val="toc 4"/>
    <w:basedOn w:val="17"/>
    <w:next w:val="1"/>
    <w:semiHidden/>
    <w:qFormat/>
    <w:uiPriority w:val="0"/>
    <w:pPr>
      <w:ind w:left="200" w:leftChars="200"/>
    </w:pPr>
  </w:style>
  <w:style w:type="paragraph" w:styleId="17">
    <w:name w:val="toc 3"/>
    <w:basedOn w:val="18"/>
    <w:next w:val="1"/>
    <w:semiHidden/>
    <w:qFormat/>
    <w:uiPriority w:val="0"/>
    <w:pPr>
      <w:ind w:left="100" w:leftChars="100"/>
    </w:pPr>
  </w:style>
  <w:style w:type="paragraph" w:styleId="18">
    <w:name w:val="toc 2"/>
    <w:basedOn w:val="19"/>
    <w:next w:val="1"/>
    <w:qFormat/>
    <w:uiPriority w:val="39"/>
  </w:style>
  <w:style w:type="paragraph" w:styleId="19">
    <w:name w:val="toc 1"/>
    <w:next w:val="1"/>
    <w:semiHidden/>
    <w:qFormat/>
    <w:uiPriority w:val="0"/>
    <w:pPr>
      <w:spacing w:before="25" w:beforeLines="25" w:after="25" w:afterLines="25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0">
    <w:name w:val="List Number 2"/>
    <w:basedOn w:val="1"/>
    <w:semiHidden/>
    <w:unhideWhenUsed/>
    <w:qFormat/>
    <w:uiPriority w:val="99"/>
    <w:pPr>
      <w:numPr>
        <w:ilvl w:val="0"/>
        <w:numId w:val="1"/>
      </w:numPr>
      <w:contextualSpacing/>
    </w:pPr>
  </w:style>
  <w:style w:type="paragraph" w:styleId="21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22">
    <w:name w:val="Note Heading"/>
    <w:basedOn w:val="1"/>
    <w:next w:val="1"/>
    <w:link w:val="492"/>
    <w:semiHidden/>
    <w:unhideWhenUsed/>
    <w:qFormat/>
    <w:uiPriority w:val="99"/>
    <w:pPr>
      <w:jc w:val="center"/>
    </w:pPr>
  </w:style>
  <w:style w:type="paragraph" w:styleId="23">
    <w:name w:val="List Bullet 4"/>
    <w:basedOn w:val="1"/>
    <w:semiHidden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index 8"/>
    <w:basedOn w:val="1"/>
    <w:next w:val="1"/>
    <w:semiHidden/>
    <w:unhideWhenUsed/>
    <w:qFormat/>
    <w:uiPriority w:val="99"/>
    <w:pPr>
      <w:ind w:left="1400" w:leftChars="1400"/>
    </w:pPr>
  </w:style>
  <w:style w:type="paragraph" w:styleId="25">
    <w:name w:val="E-mail Signature"/>
    <w:basedOn w:val="1"/>
    <w:link w:val="358"/>
    <w:semiHidden/>
    <w:unhideWhenUsed/>
    <w:qFormat/>
    <w:uiPriority w:val="99"/>
  </w:style>
  <w:style w:type="paragraph" w:styleId="26">
    <w:name w:val="List Number"/>
    <w:basedOn w:val="1"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28">
    <w:name w:val="caption"/>
    <w:basedOn w:val="1"/>
    <w:next w:val="1"/>
    <w:qFormat/>
    <w:uiPriority w:val="0"/>
    <w:rPr>
      <w:rFonts w:ascii="宋体" w:hAnsi="Arial" w:cs="Arial"/>
      <w:szCs w:val="20"/>
    </w:rPr>
  </w:style>
  <w:style w:type="paragraph" w:styleId="29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30">
    <w:name w:val="List Bullet"/>
    <w:basedOn w:val="1"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envelope address"/>
    <w:basedOn w:val="1"/>
    <w:semiHidden/>
    <w:unhideWhenUsed/>
    <w:qFormat/>
    <w:uiPriority w:val="99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</w:rPr>
  </w:style>
  <w:style w:type="paragraph" w:styleId="32">
    <w:name w:val="Document Map"/>
    <w:basedOn w:val="1"/>
    <w:link w:val="474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33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cstheme="majorBidi"/>
      <w:sz w:val="24"/>
    </w:rPr>
  </w:style>
  <w:style w:type="paragraph" w:styleId="34">
    <w:name w:val="annotation text"/>
    <w:basedOn w:val="1"/>
    <w:link w:val="368"/>
    <w:semiHidden/>
    <w:unhideWhenUsed/>
    <w:qFormat/>
    <w:uiPriority w:val="99"/>
    <w:pPr>
      <w:jc w:val="left"/>
    </w:pPr>
  </w:style>
  <w:style w:type="paragraph" w:styleId="35">
    <w:name w:val="index 6"/>
    <w:basedOn w:val="1"/>
    <w:next w:val="1"/>
    <w:semiHidden/>
    <w:unhideWhenUsed/>
    <w:qFormat/>
    <w:uiPriority w:val="99"/>
    <w:pPr>
      <w:ind w:left="1000" w:leftChars="1000"/>
    </w:pPr>
  </w:style>
  <w:style w:type="paragraph" w:styleId="36">
    <w:name w:val="Salutation"/>
    <w:basedOn w:val="1"/>
    <w:next w:val="1"/>
    <w:link w:val="356"/>
    <w:semiHidden/>
    <w:unhideWhenUsed/>
    <w:qFormat/>
    <w:uiPriority w:val="99"/>
  </w:style>
  <w:style w:type="paragraph" w:styleId="37">
    <w:name w:val="Body Text 3"/>
    <w:basedOn w:val="1"/>
    <w:link w:val="48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8">
    <w:name w:val="Closing"/>
    <w:basedOn w:val="1"/>
    <w:link w:val="361"/>
    <w:semiHidden/>
    <w:unhideWhenUsed/>
    <w:qFormat/>
    <w:uiPriority w:val="99"/>
    <w:pPr>
      <w:ind w:left="100" w:leftChars="2100"/>
    </w:pPr>
  </w:style>
  <w:style w:type="paragraph" w:styleId="39">
    <w:name w:val="List Bullet 3"/>
    <w:basedOn w:val="1"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40">
    <w:name w:val="Body Text"/>
    <w:basedOn w:val="1"/>
    <w:link w:val="333"/>
    <w:semiHidden/>
    <w:unhideWhenUsed/>
    <w:qFormat/>
    <w:uiPriority w:val="99"/>
    <w:pPr>
      <w:spacing w:after="120"/>
    </w:pPr>
  </w:style>
  <w:style w:type="paragraph" w:styleId="41">
    <w:name w:val="Body Text Indent"/>
    <w:basedOn w:val="1"/>
    <w:link w:val="486"/>
    <w:semiHidden/>
    <w:unhideWhenUsed/>
    <w:qFormat/>
    <w:uiPriority w:val="99"/>
    <w:pPr>
      <w:spacing w:after="120"/>
      <w:ind w:left="420" w:leftChars="200"/>
    </w:pPr>
  </w:style>
  <w:style w:type="paragraph" w:styleId="42">
    <w:name w:val="List Number 3"/>
    <w:basedOn w:val="1"/>
    <w:semiHidden/>
    <w:unhideWhenUsed/>
    <w:qFormat/>
    <w:uiPriority w:val="99"/>
    <w:pPr>
      <w:numPr>
        <w:ilvl w:val="0"/>
        <w:numId w:val="6"/>
      </w:numPr>
      <w:contextualSpacing/>
    </w:pPr>
  </w:style>
  <w:style w:type="paragraph" w:styleId="43">
    <w:name w:val="List 2"/>
    <w:basedOn w:val="1"/>
    <w:semiHidden/>
    <w:unhideWhenUsed/>
    <w:qFormat/>
    <w:uiPriority w:val="99"/>
    <w:pPr>
      <w:ind w:left="100" w:leftChars="200" w:hanging="200" w:hangingChars="200"/>
      <w:contextualSpacing/>
    </w:pPr>
  </w:style>
  <w:style w:type="paragraph" w:styleId="44">
    <w:name w:val="List Continue"/>
    <w:basedOn w:val="1"/>
    <w:semiHidden/>
    <w:unhideWhenUsed/>
    <w:qFormat/>
    <w:uiPriority w:val="99"/>
    <w:pPr>
      <w:spacing w:after="120"/>
      <w:ind w:left="420" w:leftChars="200"/>
      <w:contextualSpacing/>
    </w:pPr>
  </w:style>
  <w:style w:type="paragraph" w:styleId="45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46">
    <w:name w:val="List Bullet 2"/>
    <w:basedOn w:val="1"/>
    <w:semiHidden/>
    <w:unhideWhenUsed/>
    <w:qFormat/>
    <w:uiPriority w:val="99"/>
    <w:pPr>
      <w:numPr>
        <w:ilvl w:val="0"/>
        <w:numId w:val="7"/>
      </w:numPr>
      <w:contextualSpacing/>
    </w:pPr>
  </w:style>
  <w:style w:type="paragraph" w:styleId="47">
    <w:name w:val="HTML Address"/>
    <w:basedOn w:val="1"/>
    <w:semiHidden/>
    <w:qFormat/>
    <w:uiPriority w:val="0"/>
    <w:rPr>
      <w:i/>
      <w:iCs/>
    </w:rPr>
  </w:style>
  <w:style w:type="paragraph" w:styleId="48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49">
    <w:name w:val="Plain Text"/>
    <w:basedOn w:val="1"/>
    <w:link w:val="357"/>
    <w:semiHidden/>
    <w:unhideWhenUsed/>
    <w:qFormat/>
    <w:uiPriority w:val="99"/>
    <w:rPr>
      <w:rFonts w:ascii="宋体" w:hAnsi="Courier New" w:cs="Courier New"/>
      <w:szCs w:val="21"/>
    </w:rPr>
  </w:style>
  <w:style w:type="paragraph" w:styleId="50">
    <w:name w:val="List Bullet 5"/>
    <w:basedOn w:val="1"/>
    <w:semiHidden/>
    <w:unhideWhenUsed/>
    <w:qFormat/>
    <w:uiPriority w:val="99"/>
    <w:pPr>
      <w:numPr>
        <w:ilvl w:val="0"/>
        <w:numId w:val="8"/>
      </w:numPr>
      <w:contextualSpacing/>
    </w:pPr>
  </w:style>
  <w:style w:type="paragraph" w:styleId="51">
    <w:name w:val="List Number 4"/>
    <w:basedOn w:val="1"/>
    <w:semiHidden/>
    <w:unhideWhenUsed/>
    <w:qFormat/>
    <w:uiPriority w:val="99"/>
    <w:pPr>
      <w:numPr>
        <w:ilvl w:val="0"/>
        <w:numId w:val="9"/>
      </w:numPr>
      <w:contextualSpacing/>
    </w:pPr>
  </w:style>
  <w:style w:type="paragraph" w:styleId="52">
    <w:name w:val="toc 8"/>
    <w:basedOn w:val="13"/>
    <w:next w:val="1"/>
    <w:semiHidden/>
    <w:qFormat/>
    <w:uiPriority w:val="0"/>
  </w:style>
  <w:style w:type="paragraph" w:styleId="53">
    <w:name w:val="index 3"/>
    <w:basedOn w:val="1"/>
    <w:next w:val="1"/>
    <w:semiHidden/>
    <w:unhideWhenUsed/>
    <w:qFormat/>
    <w:uiPriority w:val="99"/>
    <w:pPr>
      <w:ind w:left="400" w:leftChars="400"/>
    </w:pPr>
  </w:style>
  <w:style w:type="paragraph" w:styleId="54">
    <w:name w:val="Date"/>
    <w:basedOn w:val="1"/>
    <w:next w:val="1"/>
    <w:link w:val="420"/>
    <w:semiHidden/>
    <w:unhideWhenUsed/>
    <w:qFormat/>
    <w:uiPriority w:val="99"/>
    <w:pPr>
      <w:ind w:left="100" w:leftChars="2500"/>
    </w:pPr>
  </w:style>
  <w:style w:type="paragraph" w:styleId="55">
    <w:name w:val="Body Text Indent 2"/>
    <w:basedOn w:val="1"/>
    <w:link w:val="490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6">
    <w:name w:val="endnote text"/>
    <w:basedOn w:val="1"/>
    <w:link w:val="473"/>
    <w:semiHidden/>
    <w:unhideWhenUsed/>
    <w:qFormat/>
    <w:uiPriority w:val="99"/>
    <w:pPr>
      <w:snapToGrid w:val="0"/>
      <w:jc w:val="left"/>
    </w:pPr>
  </w:style>
  <w:style w:type="paragraph" w:styleId="57">
    <w:name w:val="List Continue 5"/>
    <w:basedOn w:val="1"/>
    <w:semiHidden/>
    <w:unhideWhenUsed/>
    <w:qFormat/>
    <w:uiPriority w:val="99"/>
    <w:pPr>
      <w:spacing w:after="120"/>
      <w:ind w:left="2100" w:leftChars="1000"/>
      <w:contextualSpacing/>
    </w:pPr>
  </w:style>
  <w:style w:type="paragraph" w:styleId="58">
    <w:name w:val="Balloon Text"/>
    <w:basedOn w:val="1"/>
    <w:link w:val="367"/>
    <w:semiHidden/>
    <w:unhideWhenUsed/>
    <w:qFormat/>
    <w:uiPriority w:val="99"/>
    <w:rPr>
      <w:sz w:val="18"/>
      <w:szCs w:val="18"/>
    </w:rPr>
  </w:style>
  <w:style w:type="paragraph" w:styleId="59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60">
    <w:name w:val="envelope return"/>
    <w:basedOn w:val="1"/>
    <w:semiHidden/>
    <w:unhideWhenUsed/>
    <w:qFormat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6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2">
    <w:name w:val="Signature"/>
    <w:basedOn w:val="1"/>
    <w:link w:val="370"/>
    <w:semiHidden/>
    <w:unhideWhenUsed/>
    <w:qFormat/>
    <w:uiPriority w:val="99"/>
    <w:pPr>
      <w:ind w:left="100" w:leftChars="2100"/>
    </w:pPr>
  </w:style>
  <w:style w:type="paragraph" w:styleId="63">
    <w:name w:val="List Continue 4"/>
    <w:basedOn w:val="1"/>
    <w:semiHidden/>
    <w:unhideWhenUsed/>
    <w:qFormat/>
    <w:uiPriority w:val="99"/>
    <w:pPr>
      <w:spacing w:after="120"/>
      <w:ind w:left="1680" w:leftChars="800"/>
      <w:contextualSpacing/>
    </w:pPr>
  </w:style>
  <w:style w:type="paragraph" w:styleId="64">
    <w:name w:val="index heading"/>
    <w:basedOn w:val="1"/>
    <w:next w:val="65"/>
    <w:semiHidden/>
    <w:unhideWhenUsed/>
    <w:qFormat/>
    <w:uiPriority w:val="99"/>
    <w:pPr>
      <w:spacing w:before="100" w:beforeLines="100" w:after="100" w:afterLines="100"/>
      <w:jc w:val="center"/>
    </w:pPr>
    <w:rPr>
      <w:rFonts w:eastAsia="黑体" w:asciiTheme="majorHAnsi" w:hAnsiTheme="majorHAnsi" w:cstheme="majorBidi"/>
      <w:bCs/>
    </w:rPr>
  </w:style>
  <w:style w:type="paragraph" w:styleId="65">
    <w:name w:val="index 1"/>
    <w:basedOn w:val="1"/>
    <w:next w:val="1"/>
    <w:semiHidden/>
    <w:unhideWhenUsed/>
    <w:qFormat/>
    <w:uiPriority w:val="99"/>
    <w:rPr>
      <w:rFonts w:ascii="宋体" w:hAnsi="宋体"/>
    </w:rPr>
  </w:style>
  <w:style w:type="paragraph" w:styleId="66">
    <w:name w:val="Subtitle"/>
    <w:basedOn w:val="1"/>
    <w:next w:val="1"/>
    <w:link w:val="359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7">
    <w:name w:val="List Number 5"/>
    <w:basedOn w:val="1"/>
    <w:semiHidden/>
    <w:unhideWhenUsed/>
    <w:qFormat/>
    <w:uiPriority w:val="99"/>
    <w:pPr>
      <w:numPr>
        <w:ilvl w:val="0"/>
        <w:numId w:val="10"/>
      </w:numPr>
      <w:contextualSpacing/>
    </w:pPr>
  </w:style>
  <w:style w:type="paragraph" w:styleId="68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69">
    <w:name w:val="footnote text"/>
    <w:basedOn w:val="1"/>
    <w:semiHidden/>
    <w:qFormat/>
    <w:uiPriority w:val="0"/>
    <w:pPr>
      <w:snapToGrid w:val="0"/>
      <w:ind w:left="400" w:leftChars="200" w:hanging="200" w:hangingChars="200"/>
      <w:jc w:val="left"/>
    </w:pPr>
    <w:rPr>
      <w:sz w:val="18"/>
      <w:szCs w:val="18"/>
    </w:rPr>
  </w:style>
  <w:style w:type="paragraph" w:styleId="70">
    <w:name w:val="List 5"/>
    <w:basedOn w:val="1"/>
    <w:semiHidden/>
    <w:unhideWhenUsed/>
    <w:qFormat/>
    <w:uiPriority w:val="99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491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2">
    <w:name w:val="index 7"/>
    <w:basedOn w:val="1"/>
    <w:next w:val="1"/>
    <w:semiHidden/>
    <w:unhideWhenUsed/>
    <w:qFormat/>
    <w:uiPriority w:val="99"/>
    <w:pPr>
      <w:ind w:left="1200" w:leftChars="1200"/>
    </w:pPr>
  </w:style>
  <w:style w:type="paragraph" w:styleId="73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74">
    <w:name w:val="table of figures"/>
    <w:basedOn w:val="1"/>
    <w:next w:val="1"/>
    <w:semiHidden/>
    <w:qFormat/>
    <w:uiPriority w:val="0"/>
  </w:style>
  <w:style w:type="paragraph" w:styleId="75">
    <w:name w:val="toc 9"/>
    <w:basedOn w:val="52"/>
    <w:next w:val="1"/>
    <w:semiHidden/>
    <w:qFormat/>
    <w:uiPriority w:val="0"/>
  </w:style>
  <w:style w:type="paragraph" w:styleId="76">
    <w:name w:val="Body Text 2"/>
    <w:basedOn w:val="1"/>
    <w:link w:val="488"/>
    <w:semiHidden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semiHidden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48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2">
    <w:name w:val="List Continue 3"/>
    <w:basedOn w:val="1"/>
    <w:semiHidden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semiHidden/>
    <w:unhideWhenUsed/>
    <w:qFormat/>
    <w:uiPriority w:val="99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85">
    <w:name w:val="annotation subject"/>
    <w:basedOn w:val="34"/>
    <w:next w:val="34"/>
    <w:link w:val="369"/>
    <w:semiHidden/>
    <w:unhideWhenUsed/>
    <w:qFormat/>
    <w:uiPriority w:val="99"/>
    <w:rPr>
      <w:b/>
      <w:bCs/>
    </w:rPr>
  </w:style>
  <w:style w:type="paragraph" w:styleId="86">
    <w:name w:val="Body Text First Indent"/>
    <w:basedOn w:val="40"/>
    <w:link w:val="485"/>
    <w:semiHidden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41"/>
    <w:link w:val="487"/>
    <w:semiHidden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99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99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99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9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9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9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9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22"/>
    <w:rPr>
      <w:b/>
      <w:bCs/>
    </w:rPr>
  </w:style>
  <w:style w:type="character" w:styleId="233">
    <w:name w:val="endnote reference"/>
    <w:basedOn w:val="231"/>
    <w:semiHidden/>
    <w:unhideWhenUsed/>
    <w:qFormat/>
    <w:uiPriority w:val="99"/>
    <w:rPr>
      <w:vertAlign w:val="superscript"/>
    </w:rPr>
  </w:style>
  <w:style w:type="character" w:styleId="234">
    <w:name w:val="page number"/>
    <w:basedOn w:val="231"/>
    <w:semiHidden/>
    <w:qFormat/>
    <w:uiPriority w:val="0"/>
    <w:rPr>
      <w:rFonts w:ascii="Times New Roman" w:hAnsi="Times New Roman" w:eastAsia="宋体"/>
      <w:sz w:val="18"/>
    </w:rPr>
  </w:style>
  <w:style w:type="character" w:styleId="235">
    <w:name w:val="FollowedHyperlink"/>
    <w:basedOn w:val="23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20"/>
    <w:rPr>
      <w:i/>
      <w:iCs/>
    </w:rPr>
  </w:style>
  <w:style w:type="character" w:styleId="237">
    <w:name w:val="line number"/>
    <w:basedOn w:val="231"/>
    <w:semiHidden/>
    <w:unhideWhenUsed/>
    <w:qFormat/>
    <w:uiPriority w:val="99"/>
  </w:style>
  <w:style w:type="character" w:styleId="238">
    <w:name w:val="HTML Definition"/>
    <w:basedOn w:val="231"/>
    <w:semiHidden/>
    <w:qFormat/>
    <w:uiPriority w:val="0"/>
    <w:rPr>
      <w:i/>
      <w:iCs/>
    </w:rPr>
  </w:style>
  <w:style w:type="character" w:styleId="239">
    <w:name w:val="HTML Typewriter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0">
    <w:name w:val="HTML Acronym"/>
    <w:basedOn w:val="231"/>
    <w:semiHidden/>
    <w:qFormat/>
    <w:uiPriority w:val="0"/>
  </w:style>
  <w:style w:type="character" w:styleId="241">
    <w:name w:val="HTML Variable"/>
    <w:basedOn w:val="231"/>
    <w:semiHidden/>
    <w:qFormat/>
    <w:uiPriority w:val="0"/>
    <w:rPr>
      <w:i/>
      <w:iCs/>
    </w:rPr>
  </w:style>
  <w:style w:type="character" w:styleId="242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243">
    <w:name w:val="HTML Code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4">
    <w:name w:val="annotation reference"/>
    <w:basedOn w:val="231"/>
    <w:semiHidden/>
    <w:unhideWhenUsed/>
    <w:qFormat/>
    <w:uiPriority w:val="99"/>
    <w:rPr>
      <w:sz w:val="21"/>
      <w:szCs w:val="21"/>
    </w:rPr>
  </w:style>
  <w:style w:type="character" w:styleId="245">
    <w:name w:val="HTML Cite"/>
    <w:basedOn w:val="231"/>
    <w:semiHidden/>
    <w:qFormat/>
    <w:uiPriority w:val="0"/>
    <w:rPr>
      <w:i/>
      <w:iCs/>
    </w:rPr>
  </w:style>
  <w:style w:type="character" w:styleId="246">
    <w:name w:val="footnote reference"/>
    <w:basedOn w:val="231"/>
    <w:semiHidden/>
    <w:qFormat/>
    <w:uiPriority w:val="0"/>
    <w:rPr>
      <w:vertAlign w:val="superscript"/>
    </w:rPr>
  </w:style>
  <w:style w:type="character" w:styleId="247">
    <w:name w:val="HTML Keyboard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8">
    <w:name w:val="HTML Sample"/>
    <w:basedOn w:val="231"/>
    <w:semiHidden/>
    <w:qFormat/>
    <w:uiPriority w:val="0"/>
    <w:rPr>
      <w:rFonts w:ascii="Courier New" w:hAnsi="Courier New"/>
    </w:rPr>
  </w:style>
  <w:style w:type="paragraph" w:customStyle="1" w:styleId="249">
    <w:name w:val="标准标志H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250">
    <w:name w:val="标准称谓G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cs="Times New Roman" w:eastAsiaTheme="minorEastAsia"/>
      <w:b/>
      <w:bCs/>
      <w:w w:val="135"/>
      <w:sz w:val="52"/>
      <w:lang w:val="en-US" w:eastAsia="zh-CN" w:bidi="ar-SA"/>
    </w:rPr>
  </w:style>
  <w:style w:type="paragraph" w:customStyle="1" w:styleId="251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2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3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4">
    <w:name w:val="标准书眉_偶数页"/>
    <w:basedOn w:val="253"/>
    <w:next w:val="1"/>
    <w:qFormat/>
    <w:uiPriority w:val="0"/>
    <w:pPr>
      <w:jc w:val="left"/>
    </w:pPr>
  </w:style>
  <w:style w:type="paragraph" w:customStyle="1" w:styleId="255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6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57">
    <w:name w:val="参考文献、索引标题"/>
    <w:basedOn w:val="256"/>
    <w:next w:val="1"/>
    <w:qFormat/>
    <w:uiPriority w:val="0"/>
    <w:pPr>
      <w:spacing w:after="200"/>
    </w:pPr>
    <w:rPr>
      <w:sz w:val="21"/>
    </w:rPr>
  </w:style>
  <w:style w:type="paragraph" w:customStyle="1" w:styleId="258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章标题"/>
    <w:next w:val="258"/>
    <w:qFormat/>
    <w:uiPriority w:val="0"/>
    <w:pPr>
      <w:numPr>
        <w:ilvl w:val="0"/>
        <w:numId w:val="1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60">
    <w:name w:val="一级条标题"/>
    <w:next w:val="258"/>
    <w:qFormat/>
    <w:uiPriority w:val="0"/>
    <w:pPr>
      <w:numPr>
        <w:ilvl w:val="1"/>
        <w:numId w:val="11"/>
      </w:numPr>
      <w:spacing w:before="156" w:beforeLines="50" w:after="156" w:afterLines="50"/>
      <w:outlineLvl w:val="9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1">
    <w:name w:val="二级条标题"/>
    <w:basedOn w:val="260"/>
    <w:next w:val="258"/>
    <w:qFormat/>
    <w:uiPriority w:val="0"/>
    <w:pPr>
      <w:numPr>
        <w:ilvl w:val="2"/>
      </w:numPr>
      <w:spacing w:before="50" w:after="50"/>
      <w:outlineLvl w:val="9"/>
    </w:pPr>
  </w:style>
  <w:style w:type="character" w:customStyle="1" w:styleId="262">
    <w:name w:val="发布_1"/>
    <w:basedOn w:val="231"/>
    <w:qFormat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263">
    <w:name w:val="发布部门GB"/>
    <w:next w:val="258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264">
    <w:name w:val="发布日期"/>
    <w:qFormat/>
    <w:uiPriority w:val="0"/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65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66">
    <w:name w:val="封面标准号2"/>
    <w:basedOn w:val="265"/>
    <w:qFormat/>
    <w:uiPriority w:val="0"/>
    <w:pPr>
      <w:adjustRightInd w:val="0"/>
      <w:spacing w:before="357" w:line="280" w:lineRule="exact"/>
    </w:pPr>
  </w:style>
  <w:style w:type="paragraph" w:customStyle="1" w:styleId="267">
    <w:name w:val="封面标准代替信息"/>
    <w:basedOn w:val="266"/>
    <w:qFormat/>
    <w:uiPriority w:val="0"/>
    <w:pPr>
      <w:spacing w:before="0" w:line="360" w:lineRule="exact"/>
    </w:pPr>
    <w:rPr>
      <w:rFonts w:hAnsi="黑体"/>
      <w:sz w:val="21"/>
    </w:rPr>
  </w:style>
  <w:style w:type="paragraph" w:customStyle="1" w:styleId="268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69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0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71">
    <w:name w:val="封面标准英文名称"/>
    <w:qFormat/>
    <w:uiPriority w:val="0"/>
    <w:pPr>
      <w:widowControl w:val="0"/>
      <w:spacing w:before="330" w:line="400" w:lineRule="exact"/>
      <w:jc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72">
    <w:name w:val="封面一致性程度标识"/>
    <w:qFormat/>
    <w:uiPriority w:val="0"/>
    <w:pPr>
      <w:spacing w:before="680" w:line="400" w:lineRule="exact"/>
      <w:jc w:val="center"/>
    </w:pPr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7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74">
    <w:name w:val="附录标识"/>
    <w:basedOn w:val="1"/>
    <w:next w:val="1"/>
    <w:qFormat/>
    <w:uiPriority w:val="0"/>
    <w:pPr>
      <w:keepNext/>
      <w:widowControl/>
      <w:numPr>
        <w:ilvl w:val="0"/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75">
    <w:name w:val="附录表标题"/>
    <w:basedOn w:val="1"/>
    <w:next w:val="1"/>
    <w:qFormat/>
    <w:uiPriority w:val="0"/>
    <w:pPr>
      <w:numPr>
        <w:ilvl w:val="1"/>
        <w:numId w:val="13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76">
    <w:name w:val="附录章标题"/>
    <w:next w:val="258"/>
    <w:qFormat/>
    <w:uiPriority w:val="0"/>
    <w:pPr>
      <w:numPr>
        <w:ilvl w:val="1"/>
        <w:numId w:val="12"/>
      </w:numPr>
      <w:wordWrap w:val="0"/>
      <w:overflowPunct w:val="0"/>
      <w:autoSpaceDE w:val="0"/>
      <w:spacing w:before="50" w:beforeLines="50" w:after="50" w:afterLines="50"/>
      <w:jc w:val="both"/>
      <w:textAlignment w:val="baseline"/>
      <w:outlineLvl w:val="9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77">
    <w:name w:val="附录一级条标题"/>
    <w:basedOn w:val="276"/>
    <w:next w:val="258"/>
    <w:qFormat/>
    <w:uiPriority w:val="0"/>
    <w:pPr>
      <w:numPr>
        <w:ilvl w:val="2"/>
      </w:numPr>
      <w:autoSpaceDN w:val="0"/>
      <w:outlineLvl w:val="9"/>
    </w:pPr>
  </w:style>
  <w:style w:type="paragraph" w:customStyle="1" w:styleId="278">
    <w:name w:val="附录二级条标题"/>
    <w:basedOn w:val="1"/>
    <w:next w:val="258"/>
    <w:qFormat/>
    <w:uiPriority w:val="0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9"/>
    </w:pPr>
    <w:rPr>
      <w:rFonts w:ascii="黑体" w:eastAsia="黑体"/>
      <w:kern w:val="21"/>
      <w:szCs w:val="20"/>
    </w:rPr>
  </w:style>
  <w:style w:type="paragraph" w:customStyle="1" w:styleId="279">
    <w:name w:val="附录三级条标题"/>
    <w:basedOn w:val="278"/>
    <w:next w:val="258"/>
    <w:qFormat/>
    <w:uiPriority w:val="0"/>
    <w:pPr>
      <w:numPr>
        <w:ilvl w:val="4"/>
      </w:numPr>
      <w:outlineLvl w:val="9"/>
    </w:pPr>
  </w:style>
  <w:style w:type="paragraph" w:customStyle="1" w:styleId="280">
    <w:name w:val="附录四级条标题"/>
    <w:basedOn w:val="279"/>
    <w:next w:val="258"/>
    <w:qFormat/>
    <w:uiPriority w:val="0"/>
    <w:pPr>
      <w:numPr>
        <w:ilvl w:val="5"/>
      </w:numPr>
      <w:outlineLvl w:val="9"/>
    </w:pPr>
  </w:style>
  <w:style w:type="paragraph" w:customStyle="1" w:styleId="281">
    <w:name w:val="附录图标题"/>
    <w:basedOn w:val="1"/>
    <w:next w:val="1"/>
    <w:qFormat/>
    <w:uiPriority w:val="0"/>
    <w:pPr>
      <w:numPr>
        <w:ilvl w:val="1"/>
        <w:numId w:val="14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82">
    <w:name w:val="附录五级条标题"/>
    <w:basedOn w:val="280"/>
    <w:next w:val="258"/>
    <w:qFormat/>
    <w:uiPriority w:val="0"/>
    <w:pPr>
      <w:numPr>
        <w:ilvl w:val="6"/>
      </w:numPr>
      <w:outlineLvl w:val="6"/>
    </w:pPr>
  </w:style>
  <w:style w:type="character" w:customStyle="1" w:styleId="283">
    <w:name w:val="个人答复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character" w:customStyle="1" w:styleId="284">
    <w:name w:val="个人撰写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paragraph" w:customStyle="1" w:styleId="285">
    <w:name w:val="列项——"/>
    <w:qFormat/>
    <w:uiPriority w:val="0"/>
    <w:pPr>
      <w:widowControl w:val="0"/>
      <w:numPr>
        <w:ilvl w:val="0"/>
        <w:numId w:val="15"/>
      </w:numPr>
      <w:tabs>
        <w:tab w:val="left" w:pos="854"/>
        <w:tab w:val="clear" w:pos="11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6">
    <w:name w:val="目次、标准名称标题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287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8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289">
    <w:name w:val="其他发布部门"/>
    <w:basedOn w:val="263"/>
    <w:qFormat/>
    <w:uiPriority w:val="0"/>
    <w:pPr>
      <w:framePr w:wrap="around" w:vAnchor="margin" w:hAnchor="text" w:y="1"/>
      <w:spacing w:line="0" w:lineRule="atLeast"/>
    </w:pPr>
    <w:rPr>
      <w:rFonts w:ascii="黑体" w:eastAsia="黑体"/>
      <w:b w:val="0"/>
    </w:rPr>
  </w:style>
  <w:style w:type="paragraph" w:customStyle="1" w:styleId="290">
    <w:name w:val="三级条标题"/>
    <w:basedOn w:val="261"/>
    <w:next w:val="258"/>
    <w:qFormat/>
    <w:uiPriority w:val="0"/>
    <w:pPr>
      <w:numPr>
        <w:ilvl w:val="3"/>
      </w:numPr>
      <w:outlineLvl w:val="9"/>
    </w:pPr>
  </w:style>
  <w:style w:type="paragraph" w:customStyle="1" w:styleId="291">
    <w:name w:val="实施日期"/>
    <w:basedOn w:val="264"/>
    <w:qFormat/>
    <w:uiPriority w:val="0"/>
    <w:pPr>
      <w:jc w:val="right"/>
    </w:pPr>
  </w:style>
  <w:style w:type="paragraph" w:customStyle="1" w:styleId="292">
    <w:name w:val="示例"/>
    <w:next w:val="293"/>
    <w:qFormat/>
    <w:uiPriority w:val="0"/>
    <w:pPr>
      <w:widowControl w:val="0"/>
      <w:numPr>
        <w:ilvl w:val="0"/>
        <w:numId w:val="16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293">
    <w:name w:val="示例段"/>
    <w:basedOn w:val="258"/>
    <w:qFormat/>
    <w:uiPriority w:val="0"/>
    <w:pPr>
      <w:ind w:firstLine="420"/>
    </w:pPr>
    <w:rPr>
      <w:sz w:val="18"/>
    </w:rPr>
  </w:style>
  <w:style w:type="paragraph" w:customStyle="1" w:styleId="294">
    <w:name w:val="数字编号列项（二级）"/>
    <w:qFormat/>
    <w:uiPriority w:val="0"/>
    <w:pPr>
      <w:numPr>
        <w:ilvl w:val="1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95">
    <w:name w:val="四级条标题"/>
    <w:basedOn w:val="290"/>
    <w:next w:val="258"/>
    <w:qFormat/>
    <w:uiPriority w:val="0"/>
    <w:pPr>
      <w:numPr>
        <w:ilvl w:val="4"/>
      </w:numPr>
      <w:outlineLvl w:val="9"/>
    </w:pPr>
  </w:style>
  <w:style w:type="paragraph" w:customStyle="1" w:styleId="296">
    <w:name w:val="条文脚注"/>
    <w:basedOn w:val="69"/>
    <w:link w:val="332"/>
    <w:qFormat/>
    <w:uiPriority w:val="0"/>
    <w:pPr>
      <w:numPr>
        <w:ilvl w:val="0"/>
        <w:numId w:val="18"/>
      </w:numPr>
      <w:ind w:firstLine="0" w:firstLineChars="0"/>
      <w:jc w:val="both"/>
    </w:pPr>
    <w:rPr>
      <w:rFonts w:ascii="宋体"/>
    </w:rPr>
  </w:style>
  <w:style w:type="paragraph" w:customStyle="1" w:styleId="297">
    <w:name w:val="图表脚注"/>
    <w:next w:val="258"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98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99">
    <w:name w:val="无标题条"/>
    <w:next w:val="258"/>
    <w:qFormat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00">
    <w:name w:val="五级条标题"/>
    <w:basedOn w:val="295"/>
    <w:next w:val="258"/>
    <w:qFormat/>
    <w:uiPriority w:val="0"/>
    <w:pPr>
      <w:numPr>
        <w:ilvl w:val="5"/>
      </w:numPr>
      <w:outlineLvl w:val="9"/>
    </w:pPr>
  </w:style>
  <w:style w:type="paragraph" w:customStyle="1" w:styleId="301">
    <w:name w:val="正文表标题"/>
    <w:next w:val="258"/>
    <w:qFormat/>
    <w:uiPriority w:val="0"/>
    <w:pPr>
      <w:numPr>
        <w:ilvl w:val="1"/>
        <w:numId w:val="19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02">
    <w:name w:val="正文图标题"/>
    <w:basedOn w:val="301"/>
    <w:next w:val="258"/>
    <w:qFormat/>
    <w:uiPriority w:val="0"/>
    <w:pPr>
      <w:numPr>
        <w:ilvl w:val="0"/>
        <w:numId w:val="20"/>
      </w:numPr>
      <w:tabs>
        <w:tab w:val="clear" w:pos="360"/>
      </w:tabs>
    </w:pPr>
  </w:style>
  <w:style w:type="paragraph" w:customStyle="1" w:styleId="303">
    <w:name w:val="注："/>
    <w:next w:val="1"/>
    <w:qFormat/>
    <w:uiPriority w:val="0"/>
    <w:pPr>
      <w:widowControl w:val="0"/>
      <w:numPr>
        <w:ilvl w:val="0"/>
        <w:numId w:val="21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304">
    <w:name w:val="注×："/>
    <w:qFormat/>
    <w:uiPriority w:val="0"/>
    <w:pPr>
      <w:widowControl w:val="0"/>
      <w:numPr>
        <w:ilvl w:val="0"/>
        <w:numId w:val="22"/>
      </w:numPr>
      <w:autoSpaceDE w:val="0"/>
      <w:autoSpaceDN w:val="0"/>
      <w:jc w:val="both"/>
    </w:pPr>
    <w:rPr>
      <w:rFonts w:ascii="黑体" w:hAnsi="Times New Roman" w:cs="Times New Roman" w:eastAsiaTheme="minorEastAsia"/>
      <w:sz w:val="18"/>
      <w:szCs w:val="18"/>
      <w:lang w:val="en-US" w:eastAsia="zh-CN" w:bidi="ar-SA"/>
    </w:rPr>
  </w:style>
  <w:style w:type="paragraph" w:customStyle="1" w:styleId="305">
    <w:name w:val="字母编号列项（一级）"/>
    <w:qFormat/>
    <w:uiPriority w:val="0"/>
    <w:pPr>
      <w:numPr>
        <w:ilvl w:val="0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6">
    <w:name w:val="引言一级条标题"/>
    <w:basedOn w:val="1"/>
    <w:next w:val="258"/>
    <w:qFormat/>
    <w:uiPriority w:val="0"/>
    <w:pPr>
      <w:widowControl/>
      <w:numPr>
        <w:ilvl w:val="0"/>
        <w:numId w:val="23"/>
      </w:numPr>
      <w:tabs>
        <w:tab w:val="clear" w:pos="360"/>
      </w:tabs>
      <w:spacing w:before="50" w:beforeLines="50" w:after="50" w:afterLines="50"/>
    </w:pPr>
    <w:rPr>
      <w:rFonts w:eastAsia="黑体"/>
    </w:rPr>
  </w:style>
  <w:style w:type="paragraph" w:customStyle="1" w:styleId="307">
    <w:name w:val="示例×："/>
    <w:basedOn w:val="1"/>
    <w:next w:val="293"/>
    <w:qFormat/>
    <w:uiPriority w:val="0"/>
    <w:pPr>
      <w:widowControl/>
      <w:numPr>
        <w:ilvl w:val="0"/>
        <w:numId w:val="24"/>
      </w:numPr>
    </w:pPr>
    <w:rPr>
      <w:rFonts w:ascii="宋体"/>
      <w:kern w:val="0"/>
      <w:sz w:val="18"/>
      <w:szCs w:val="18"/>
    </w:rPr>
  </w:style>
  <w:style w:type="paragraph" w:customStyle="1" w:styleId="308">
    <w:name w:val="工程建设章标题"/>
    <w:next w:val="258"/>
    <w:qFormat/>
    <w:uiPriority w:val="0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hAnsi="Times New Roman" w:eastAsia="黑体" w:cs="Times New Roman"/>
      <w:b/>
      <w:sz w:val="28"/>
      <w:lang w:val="en-US" w:eastAsia="zh-CN" w:bidi="ar-SA"/>
    </w:rPr>
  </w:style>
  <w:style w:type="paragraph" w:customStyle="1" w:styleId="309">
    <w:name w:val="工程建设节标题"/>
    <w:basedOn w:val="308"/>
    <w:next w:val="258"/>
    <w:qFormat/>
    <w:uiPriority w:val="0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310">
    <w:name w:val="工程建设条标题"/>
    <w:basedOn w:val="309"/>
    <w:next w:val="258"/>
    <w:qFormat/>
    <w:uiPriority w:val="0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311">
    <w:name w:val="工程建设表标题"/>
    <w:basedOn w:val="310"/>
    <w:qFormat/>
    <w:uiPriority w:val="0"/>
    <w:pPr>
      <w:numPr>
        <w:ilvl w:val="4"/>
      </w:numPr>
      <w:jc w:val="center"/>
      <w:outlineLvl w:val="4"/>
    </w:pPr>
  </w:style>
  <w:style w:type="paragraph" w:customStyle="1" w:styleId="312">
    <w:name w:val="工程建设图标题"/>
    <w:basedOn w:val="310"/>
    <w:qFormat/>
    <w:uiPriority w:val="0"/>
    <w:pPr>
      <w:numPr>
        <w:ilvl w:val="5"/>
      </w:numPr>
      <w:jc w:val="center"/>
      <w:outlineLvl w:val="5"/>
    </w:pPr>
  </w:style>
  <w:style w:type="paragraph" w:customStyle="1" w:styleId="313">
    <w:name w:val="工程建设公式标题"/>
    <w:basedOn w:val="310"/>
    <w:qFormat/>
    <w:uiPriority w:val="0"/>
    <w:pPr>
      <w:numPr>
        <w:ilvl w:val="6"/>
      </w:numPr>
      <w:jc w:val="center"/>
      <w:outlineLvl w:val="6"/>
    </w:pPr>
  </w:style>
  <w:style w:type="paragraph" w:customStyle="1" w:styleId="314">
    <w:name w:val="工程建设无节条标题"/>
    <w:basedOn w:val="1"/>
    <w:next w:val="258"/>
    <w:qFormat/>
    <w:uiPriority w:val="0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315">
    <w:name w:val="工程建设款标题"/>
    <w:basedOn w:val="310"/>
    <w:qFormat/>
    <w:uiPriority w:val="0"/>
    <w:pPr>
      <w:numPr>
        <w:ilvl w:val="7"/>
      </w:numPr>
      <w:outlineLvl w:val="9"/>
    </w:pPr>
  </w:style>
  <w:style w:type="paragraph" w:customStyle="1" w:styleId="316">
    <w:name w:val="名称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317">
    <w:name w:val="正文表标题续表"/>
    <w:basedOn w:val="301"/>
    <w:next w:val="258"/>
    <w:qFormat/>
    <w:uiPriority w:val="0"/>
    <w:pPr>
      <w:numPr>
        <w:ilvl w:val="2"/>
      </w:numPr>
    </w:pPr>
  </w:style>
  <w:style w:type="paragraph" w:customStyle="1" w:styleId="318">
    <w:name w:val="附录表标题续表"/>
    <w:basedOn w:val="275"/>
    <w:next w:val="258"/>
    <w:qFormat/>
    <w:uiPriority w:val="0"/>
    <w:pPr>
      <w:numPr>
        <w:ilvl w:val="2"/>
      </w:numPr>
    </w:pPr>
  </w:style>
  <w:style w:type="paragraph" w:customStyle="1" w:styleId="319">
    <w:name w:val="术语定义二级条标题"/>
    <w:basedOn w:val="261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0">
    <w:name w:val="术语定义三级条标题"/>
    <w:basedOn w:val="29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1">
    <w:name w:val="式中"/>
    <w:qFormat/>
    <w:uiPriority w:val="0"/>
    <w:pPr>
      <w:ind w:left="200" w:left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2">
    <w:name w:val="术语定义四级条标题"/>
    <w:basedOn w:val="295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3">
    <w:name w:val="术语定义五级条标题"/>
    <w:basedOn w:val="30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4">
    <w:name w:val="术语定义一级条标题"/>
    <w:basedOn w:val="26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5">
    <w:name w:val="条文说明"/>
    <w:basedOn w:val="316"/>
    <w:qFormat/>
    <w:uiPriority w:val="0"/>
  </w:style>
  <w:style w:type="paragraph" w:customStyle="1" w:styleId="326">
    <w:name w:val="列项·"/>
    <w:qFormat/>
    <w:uiPriority w:val="0"/>
    <w:pPr>
      <w:numPr>
        <w:ilvl w:val="0"/>
        <w:numId w:val="26"/>
      </w:numPr>
      <w:tabs>
        <w:tab w:val="left" w:pos="8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7">
    <w:name w:val="二级无标题条"/>
    <w:basedOn w:val="261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8">
    <w:name w:val="三级无标题条"/>
    <w:basedOn w:val="29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9">
    <w:name w:val="四级无标题条"/>
    <w:basedOn w:val="295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0">
    <w:name w:val="五级无标题条"/>
    <w:basedOn w:val="30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1">
    <w:name w:val="一级无标题条"/>
    <w:basedOn w:val="26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character" w:customStyle="1" w:styleId="332">
    <w:name w:val="条文脚注 Char"/>
    <w:basedOn w:val="333"/>
    <w:link w:val="296"/>
    <w:qFormat/>
    <w:uiPriority w:val="0"/>
    <w:rPr>
      <w:rFonts w:ascii="宋体"/>
      <w:kern w:val="2"/>
      <w:sz w:val="18"/>
      <w:szCs w:val="18"/>
    </w:rPr>
  </w:style>
  <w:style w:type="character" w:customStyle="1" w:styleId="333">
    <w:name w:val="正文文本 Char"/>
    <w:basedOn w:val="231"/>
    <w:link w:val="40"/>
    <w:semiHidden/>
    <w:qFormat/>
    <w:uiPriority w:val="99"/>
    <w:rPr>
      <w:kern w:val="2"/>
      <w:sz w:val="21"/>
      <w:szCs w:val="24"/>
    </w:rPr>
  </w:style>
  <w:style w:type="paragraph" w:customStyle="1" w:styleId="334">
    <w:name w:val="ICS"/>
    <w:basedOn w:val="273"/>
    <w:qFormat/>
    <w:uiPriority w:val="0"/>
    <w:pPr>
      <w:jc w:val="left"/>
    </w:pPr>
    <w:rPr>
      <w:rFonts w:ascii="黑体" w:eastAsia="黑体"/>
      <w:sz w:val="21"/>
    </w:rPr>
  </w:style>
  <w:style w:type="paragraph" w:customStyle="1" w:styleId="335">
    <w:name w:val="标准称谓H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paragraph" w:customStyle="1" w:styleId="336">
    <w:name w:val="发布"/>
    <w:basedOn w:val="40"/>
    <w:qFormat/>
    <w:uiPriority w:val="0"/>
    <w:pPr>
      <w:spacing w:after="0" w:line="280" w:lineRule="exact"/>
      <w:ind w:left="567"/>
    </w:pPr>
    <w:rPr>
      <w:rFonts w:ascii="黑体" w:eastAsia="黑体"/>
      <w:sz w:val="28"/>
    </w:rPr>
  </w:style>
  <w:style w:type="paragraph" w:customStyle="1" w:styleId="337">
    <w:name w:val="标准称谓DB"/>
    <w:next w:val="1"/>
    <w:link w:val="338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character" w:customStyle="1" w:styleId="338">
    <w:name w:val="标准称谓DB Char"/>
    <w:basedOn w:val="231"/>
    <w:link w:val="337"/>
    <w:qFormat/>
    <w:uiPriority w:val="0"/>
    <w:rPr>
      <w:rFonts w:ascii="Britannic Bold" w:hAnsi="Britannic Bold" w:eastAsia="黑体"/>
      <w:bCs/>
      <w:w w:val="135"/>
      <w:sz w:val="44"/>
    </w:rPr>
  </w:style>
  <w:style w:type="paragraph" w:customStyle="1" w:styleId="339">
    <w:name w:val="标准称谓QB"/>
    <w:next w:val="1"/>
    <w:link w:val="340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hAnsi="Arial Black" w:eastAsia="黑体" w:cs="Times New Roman"/>
      <w:bCs/>
      <w:w w:val="135"/>
      <w:sz w:val="44"/>
      <w:lang w:val="en-US" w:eastAsia="zh-CN" w:bidi="ar-SA"/>
    </w:rPr>
  </w:style>
  <w:style w:type="character" w:customStyle="1" w:styleId="340">
    <w:name w:val="标准称谓QB Char"/>
    <w:basedOn w:val="231"/>
    <w:link w:val="339"/>
    <w:qFormat/>
    <w:uiPriority w:val="0"/>
    <w:rPr>
      <w:rFonts w:ascii="Arial Black" w:hAnsi="Arial Black" w:eastAsia="黑体"/>
      <w:bCs/>
      <w:w w:val="135"/>
      <w:sz w:val="44"/>
    </w:rPr>
  </w:style>
  <w:style w:type="paragraph" w:customStyle="1" w:styleId="341">
    <w:name w:val="发布部门H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2">
    <w:name w:val="发布部门D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3">
    <w:name w:val="发布部门Q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4">
    <w:name w:val="标准标志D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5">
    <w:name w:val="标准标志QB"/>
    <w:next w:val="1"/>
    <w:qFormat/>
    <w:uiPriority w:val="0"/>
    <w:pPr>
      <w:shd w:val="solid" w:color="FFFFFF" w:fill="FFFFFF"/>
      <w:spacing w:line="0" w:lineRule="atLeast"/>
      <w:jc w:val="right"/>
    </w:pPr>
    <w:rPr>
      <w:rFonts w:ascii="Arial Black" w:hAnsi="Britannic Bold" w:eastAsia="Arial Unicode MS" w:cs="Times New Roman"/>
      <w:b/>
      <w:w w:val="110"/>
      <w:kern w:val="2"/>
      <w:sz w:val="96"/>
      <w:lang w:val="en-US" w:eastAsia="zh-CN" w:bidi="ar-SA"/>
    </w:rPr>
  </w:style>
  <w:style w:type="paragraph" w:customStyle="1" w:styleId="346">
    <w:name w:val="标准标志G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7">
    <w:name w:val="引言二级条标题"/>
    <w:basedOn w:val="306"/>
    <w:next w:val="258"/>
    <w:qFormat/>
    <w:uiPriority w:val="0"/>
    <w:pPr>
      <w:numPr>
        <w:ilvl w:val="1"/>
      </w:numPr>
      <w:spacing w:before="156" w:after="156"/>
    </w:pPr>
    <w:rPr>
      <w:rFonts w:ascii="黑体"/>
    </w:rPr>
  </w:style>
  <w:style w:type="paragraph" w:customStyle="1" w:styleId="348">
    <w:name w:val="示例X"/>
    <w:basedOn w:val="293"/>
    <w:next w:val="258"/>
    <w:qFormat/>
    <w:uiPriority w:val="0"/>
  </w:style>
  <w:style w:type="paragraph" w:customStyle="1" w:styleId="349">
    <w:name w:val="附录表标号"/>
    <w:basedOn w:val="1"/>
    <w:next w:val="258"/>
    <w:qFormat/>
    <w:uiPriority w:val="0"/>
    <w:pPr>
      <w:numPr>
        <w:ilvl w:val="0"/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350">
    <w:name w:val="附录图标号"/>
    <w:basedOn w:val="1"/>
    <w:next w:val="258"/>
    <w:qFormat/>
    <w:uiPriority w:val="0"/>
    <w:pPr>
      <w:numPr>
        <w:ilvl w:val="0"/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351">
    <w:name w:val="重要提示"/>
    <w:basedOn w:val="258"/>
    <w:next w:val="258"/>
    <w:qFormat/>
    <w:uiPriority w:val="0"/>
    <w:rPr>
      <w:rFonts w:eastAsia="黑体"/>
    </w:rPr>
  </w:style>
  <w:style w:type="paragraph" w:customStyle="1" w:styleId="352">
    <w:name w:val="公式编号制表符"/>
    <w:basedOn w:val="1"/>
    <w:next w:val="1"/>
    <w:qFormat/>
    <w:uiPriority w:val="0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35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354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5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6">
    <w:name w:val="称呼 Char"/>
    <w:basedOn w:val="231"/>
    <w:link w:val="36"/>
    <w:semiHidden/>
    <w:qFormat/>
    <w:uiPriority w:val="99"/>
    <w:rPr>
      <w:kern w:val="2"/>
      <w:sz w:val="21"/>
      <w:szCs w:val="24"/>
    </w:rPr>
  </w:style>
  <w:style w:type="character" w:customStyle="1" w:styleId="357">
    <w:name w:val="纯文本 Char"/>
    <w:basedOn w:val="231"/>
    <w:link w:val="49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58">
    <w:name w:val="电子邮件签名 Char"/>
    <w:basedOn w:val="231"/>
    <w:link w:val="25"/>
    <w:semiHidden/>
    <w:qFormat/>
    <w:uiPriority w:val="99"/>
    <w:rPr>
      <w:kern w:val="2"/>
      <w:sz w:val="21"/>
      <w:szCs w:val="24"/>
    </w:rPr>
  </w:style>
  <w:style w:type="character" w:customStyle="1" w:styleId="359">
    <w:name w:val="副标题 Char"/>
    <w:basedOn w:val="231"/>
    <w:link w:val="66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60">
    <w:name w:val="宏文本 Char"/>
    <w:basedOn w:val="231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361">
    <w:name w:val="结束语 Char"/>
    <w:basedOn w:val="231"/>
    <w:link w:val="38"/>
    <w:semiHidden/>
    <w:qFormat/>
    <w:uiPriority w:val="99"/>
    <w:rPr>
      <w:kern w:val="2"/>
      <w:sz w:val="21"/>
      <w:szCs w:val="24"/>
    </w:rPr>
  </w:style>
  <w:style w:type="paragraph" w:styleId="362">
    <w:name w:val="List Paragraph"/>
    <w:basedOn w:val="1"/>
    <w:qFormat/>
    <w:uiPriority w:val="34"/>
    <w:pPr>
      <w:ind w:firstLine="420" w:firstLineChars="200"/>
    </w:pPr>
  </w:style>
  <w:style w:type="character" w:customStyle="1" w:styleId="363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364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65">
    <w:name w:val="Intense Quote"/>
    <w:basedOn w:val="1"/>
    <w:next w:val="1"/>
    <w:link w:val="366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66">
    <w:name w:val="明显引用 Char"/>
    <w:basedOn w:val="231"/>
    <w:link w:val="365"/>
    <w:qFormat/>
    <w:uiPriority w:val="30"/>
    <w:rPr>
      <w:i/>
      <w:iCs/>
      <w:color w:val="5B9BD5" w:themeColor="accent1"/>
      <w:kern w:val="2"/>
      <w:sz w:val="21"/>
      <w:szCs w:val="24"/>
      <w14:textFill>
        <w14:solidFill>
          <w14:schemeClr w14:val="accent1"/>
        </w14:solidFill>
      </w14:textFill>
    </w:rPr>
  </w:style>
  <w:style w:type="character" w:customStyle="1" w:styleId="367">
    <w:name w:val="批注框文本 Char"/>
    <w:basedOn w:val="231"/>
    <w:link w:val="58"/>
    <w:semiHidden/>
    <w:qFormat/>
    <w:uiPriority w:val="99"/>
    <w:rPr>
      <w:kern w:val="2"/>
      <w:sz w:val="18"/>
      <w:szCs w:val="18"/>
    </w:rPr>
  </w:style>
  <w:style w:type="character" w:customStyle="1" w:styleId="368">
    <w:name w:val="批注文字 Char"/>
    <w:basedOn w:val="231"/>
    <w:link w:val="34"/>
    <w:semiHidden/>
    <w:qFormat/>
    <w:uiPriority w:val="99"/>
    <w:rPr>
      <w:kern w:val="2"/>
      <w:sz w:val="21"/>
      <w:szCs w:val="24"/>
    </w:rPr>
  </w:style>
  <w:style w:type="character" w:customStyle="1" w:styleId="369">
    <w:name w:val="批注主题 Char"/>
    <w:basedOn w:val="368"/>
    <w:link w:val="85"/>
    <w:semiHidden/>
    <w:qFormat/>
    <w:uiPriority w:val="99"/>
    <w:rPr>
      <w:b/>
      <w:bCs/>
      <w:kern w:val="2"/>
      <w:sz w:val="21"/>
      <w:szCs w:val="24"/>
    </w:rPr>
  </w:style>
  <w:style w:type="character" w:customStyle="1" w:styleId="370">
    <w:name w:val="签名 Char"/>
    <w:basedOn w:val="231"/>
    <w:link w:val="62"/>
    <w:semiHidden/>
    <w:qFormat/>
    <w:uiPriority w:val="99"/>
    <w:rPr>
      <w:kern w:val="2"/>
      <w:sz w:val="21"/>
      <w:szCs w:val="24"/>
    </w:rPr>
  </w:style>
  <w:style w:type="table" w:customStyle="1" w:styleId="371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3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4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5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6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7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8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9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80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81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82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83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84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5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86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87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88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89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90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91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92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93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94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95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96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97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98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99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0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1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2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3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4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5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6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07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08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09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10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11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12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13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4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5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6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7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8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9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420">
    <w:name w:val="日期 Char"/>
    <w:basedOn w:val="231"/>
    <w:link w:val="54"/>
    <w:semiHidden/>
    <w:qFormat/>
    <w:uiPriority w:val="99"/>
    <w:rPr>
      <w:kern w:val="2"/>
      <w:sz w:val="21"/>
      <w:szCs w:val="24"/>
    </w:rPr>
  </w:style>
  <w:style w:type="character" w:customStyle="1" w:styleId="421">
    <w:name w:val="Book Title"/>
    <w:basedOn w:val="231"/>
    <w:qFormat/>
    <w:uiPriority w:val="33"/>
    <w:rPr>
      <w:b/>
      <w:bCs/>
      <w:i/>
      <w:iCs/>
      <w:spacing w:val="5"/>
    </w:rPr>
  </w:style>
  <w:style w:type="paragraph" w:customStyle="1" w:styleId="422">
    <w:name w:val="Bibliography"/>
    <w:basedOn w:val="1"/>
    <w:next w:val="1"/>
    <w:semiHidden/>
    <w:unhideWhenUsed/>
    <w:qFormat/>
    <w:uiPriority w:val="37"/>
  </w:style>
  <w:style w:type="table" w:customStyle="1" w:styleId="423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6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7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8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9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1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32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33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34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35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36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37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38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39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40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41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42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43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44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5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46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47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48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49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50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51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52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453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454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455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456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457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458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9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60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61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62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63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64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65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66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67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68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69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70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71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72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3">
    <w:name w:val="尾注文本 Char"/>
    <w:basedOn w:val="231"/>
    <w:link w:val="56"/>
    <w:semiHidden/>
    <w:qFormat/>
    <w:uiPriority w:val="99"/>
    <w:rPr>
      <w:kern w:val="2"/>
      <w:sz w:val="21"/>
      <w:szCs w:val="24"/>
    </w:rPr>
  </w:style>
  <w:style w:type="character" w:customStyle="1" w:styleId="474">
    <w:name w:val="文档结构图 Char"/>
    <w:basedOn w:val="231"/>
    <w:link w:val="32"/>
    <w:semiHidden/>
    <w:qFormat/>
    <w:uiPriority w:val="99"/>
    <w:rPr>
      <w:rFonts w:ascii="Microsoft YaHei UI" w:eastAsia="Microsoft YaHei UI"/>
      <w:kern w:val="2"/>
      <w:sz w:val="18"/>
      <w:szCs w:val="18"/>
    </w:rPr>
  </w:style>
  <w:style w:type="table" w:customStyle="1" w:styleId="475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6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77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478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9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48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81">
    <w:name w:val="信息标题 Char"/>
    <w:basedOn w:val="231"/>
    <w:link w:val="79"/>
    <w:semiHidden/>
    <w:qFormat/>
    <w:uiPriority w:val="99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482">
    <w:name w:val="Quote"/>
    <w:basedOn w:val="1"/>
    <w:next w:val="1"/>
    <w:link w:val="483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3">
    <w:name w:val="引用 Char"/>
    <w:basedOn w:val="231"/>
    <w:link w:val="482"/>
    <w:qFormat/>
    <w:uiPriority w:val="29"/>
    <w:rPr>
      <w:i/>
      <w:iCs/>
      <w:color w:val="404040" w:themeColor="text1" w:themeTint="BF"/>
      <w:kern w:val="2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484">
    <w:name w:val="Placeholder Text"/>
    <w:basedOn w:val="231"/>
    <w:semiHidden/>
    <w:qFormat/>
    <w:uiPriority w:val="99"/>
    <w:rPr>
      <w:color w:val="808080"/>
    </w:rPr>
  </w:style>
  <w:style w:type="character" w:customStyle="1" w:styleId="485">
    <w:name w:val="正文首行缩进 Char"/>
    <w:basedOn w:val="333"/>
    <w:link w:val="86"/>
    <w:semiHidden/>
    <w:qFormat/>
    <w:uiPriority w:val="99"/>
    <w:rPr>
      <w:kern w:val="2"/>
      <w:sz w:val="21"/>
      <w:szCs w:val="24"/>
    </w:rPr>
  </w:style>
  <w:style w:type="character" w:customStyle="1" w:styleId="486">
    <w:name w:val="正文文本缩进 Char"/>
    <w:basedOn w:val="231"/>
    <w:link w:val="41"/>
    <w:semiHidden/>
    <w:qFormat/>
    <w:uiPriority w:val="99"/>
    <w:rPr>
      <w:kern w:val="2"/>
      <w:sz w:val="21"/>
      <w:szCs w:val="24"/>
    </w:rPr>
  </w:style>
  <w:style w:type="character" w:customStyle="1" w:styleId="487">
    <w:name w:val="正文首行缩进 2 Char"/>
    <w:basedOn w:val="486"/>
    <w:link w:val="87"/>
    <w:semiHidden/>
    <w:qFormat/>
    <w:uiPriority w:val="99"/>
    <w:rPr>
      <w:kern w:val="2"/>
      <w:sz w:val="21"/>
      <w:szCs w:val="24"/>
    </w:rPr>
  </w:style>
  <w:style w:type="character" w:customStyle="1" w:styleId="488">
    <w:name w:val="正文文本 2 Char"/>
    <w:basedOn w:val="231"/>
    <w:link w:val="76"/>
    <w:semiHidden/>
    <w:qFormat/>
    <w:uiPriority w:val="99"/>
    <w:rPr>
      <w:kern w:val="2"/>
      <w:sz w:val="21"/>
      <w:szCs w:val="24"/>
    </w:rPr>
  </w:style>
  <w:style w:type="character" w:customStyle="1" w:styleId="489">
    <w:name w:val="正文文本 3 Char"/>
    <w:basedOn w:val="231"/>
    <w:link w:val="37"/>
    <w:semiHidden/>
    <w:qFormat/>
    <w:uiPriority w:val="99"/>
    <w:rPr>
      <w:kern w:val="2"/>
      <w:sz w:val="16"/>
      <w:szCs w:val="16"/>
    </w:rPr>
  </w:style>
  <w:style w:type="character" w:customStyle="1" w:styleId="490">
    <w:name w:val="正文文本缩进 2 Char"/>
    <w:basedOn w:val="231"/>
    <w:link w:val="55"/>
    <w:semiHidden/>
    <w:qFormat/>
    <w:uiPriority w:val="99"/>
    <w:rPr>
      <w:kern w:val="2"/>
      <w:sz w:val="21"/>
      <w:szCs w:val="24"/>
    </w:rPr>
  </w:style>
  <w:style w:type="character" w:customStyle="1" w:styleId="491">
    <w:name w:val="正文文本缩进 3 Char"/>
    <w:basedOn w:val="231"/>
    <w:link w:val="71"/>
    <w:semiHidden/>
    <w:qFormat/>
    <w:uiPriority w:val="99"/>
    <w:rPr>
      <w:kern w:val="2"/>
      <w:sz w:val="16"/>
      <w:szCs w:val="16"/>
    </w:rPr>
  </w:style>
  <w:style w:type="character" w:customStyle="1" w:styleId="492">
    <w:name w:val="注释标题 Char"/>
    <w:basedOn w:val="231"/>
    <w:link w:val="22"/>
    <w:semiHidden/>
    <w:qFormat/>
    <w:uiPriority w:val="99"/>
    <w:rPr>
      <w:kern w:val="2"/>
      <w:sz w:val="21"/>
      <w:szCs w:val="24"/>
    </w:rPr>
  </w:style>
  <w:style w:type="paragraph" w:customStyle="1" w:styleId="493">
    <w:name w:val="附录无标题章"/>
    <w:basedOn w:val="276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4">
    <w:name w:val="附录一级无标题条"/>
    <w:basedOn w:val="277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5">
    <w:name w:val="附录二级无标题条"/>
    <w:basedOn w:val="278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6">
    <w:name w:val="附录三级无标题条"/>
    <w:basedOn w:val="279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7">
    <w:name w:val="附录四级无标题条"/>
    <w:basedOn w:val="280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8">
    <w:name w:val="标准标志TB"/>
    <w:basedOn w:val="1"/>
    <w:qFormat/>
    <w:uiPriority w:val="0"/>
    <w:pPr>
      <w:widowControl/>
      <w:shd w:val="solid" w:color="FFFFFF" w:fill="FFFFFF"/>
      <w:spacing w:line="0" w:lineRule="atLeast"/>
      <w:jc w:val="right"/>
    </w:pPr>
    <w:rPr>
      <w:rFonts w:ascii="Times New Roman" w:hAnsi="Times New Roman" w:eastAsia="Arial Unicode MS"/>
      <w:b/>
      <w:w w:val="130"/>
      <w:sz w:val="96"/>
      <w:szCs w:val="20"/>
    </w:rPr>
  </w:style>
  <w:style w:type="paragraph" w:customStyle="1" w:styleId="499">
    <w:name w:val="标准称谓TB"/>
    <w:basedOn w:val="1"/>
    <w:qFormat/>
    <w:uiPriority w:val="0"/>
    <w:pPr>
      <w:kinsoku w:val="0"/>
      <w:overflowPunct w:val="0"/>
      <w:autoSpaceDE w:val="0"/>
      <w:autoSpaceDN w:val="0"/>
      <w:spacing w:line="0" w:lineRule="atLeast"/>
      <w:jc w:val="center"/>
    </w:pPr>
    <w:rPr>
      <w:rFonts w:ascii="Microsoft Sans Serif" w:hAnsi="Microsoft Sans Serif" w:eastAsia="黑体" w:cs="Microsoft Sans Serif"/>
      <w:bCs/>
      <w:spacing w:val="40"/>
      <w:w w:val="100"/>
      <w:kern w:val="0"/>
      <w:sz w:val="72"/>
      <w:szCs w:val="20"/>
    </w:rPr>
  </w:style>
  <w:style w:type="paragraph" w:customStyle="1" w:styleId="500">
    <w:name w:val="发布GB"/>
    <w:basedOn w:val="40"/>
    <w:qFormat/>
    <w:uiPriority w:val="0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501">
    <w:name w:val="发布DB"/>
    <w:basedOn w:val="500"/>
    <w:qFormat/>
    <w:uiPriority w:val="0"/>
    <w:pPr>
      <w:ind w:left="567"/>
    </w:pPr>
  </w:style>
  <w:style w:type="paragraph" w:customStyle="1" w:styleId="502">
    <w:name w:val="发布HB"/>
    <w:basedOn w:val="500"/>
    <w:qFormat/>
    <w:uiPriority w:val="0"/>
    <w:pPr>
      <w:ind w:left="567"/>
    </w:pPr>
  </w:style>
  <w:style w:type="paragraph" w:customStyle="1" w:styleId="503">
    <w:name w:val="发布QB"/>
    <w:basedOn w:val="500"/>
    <w:qFormat/>
    <w:uiPriority w:val="0"/>
    <w:pPr>
      <w:ind w:left="567"/>
    </w:pPr>
  </w:style>
  <w:style w:type="paragraph" w:customStyle="1" w:styleId="504">
    <w:name w:val="发布TB"/>
    <w:basedOn w:val="500"/>
    <w:qFormat/>
    <w:uiPriority w:val="0"/>
    <w:pPr>
      <w:ind w:left="567"/>
    </w:pPr>
  </w:style>
  <w:style w:type="paragraph" w:customStyle="1" w:styleId="505">
    <w:name w:val="发布部门TB"/>
    <w:basedOn w:val="1"/>
    <w:qFormat/>
    <w:uiPriority w:val="0"/>
    <w:pPr>
      <w:widowControl/>
      <w:spacing w:line="360" w:lineRule="exact"/>
      <w:jc w:val="center"/>
    </w:pPr>
    <w:rPr>
      <w:rFonts w:ascii="Microsoft Sans Serif" w:hAnsi="Microsoft Sans Serif" w:cs="Microsoft Sans Serif"/>
      <w:spacing w:val="20"/>
      <w:w w:val="135"/>
      <w:kern w:val="0"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&#26631;&#20934;&#32534;&#20889;WPS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C0D5CE-5E97-4EFC-922C-F3E8EF5D4E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Pages>1</Pages>
  <Words>110</Words>
  <Characters>110</Characters>
  <Lines>1</Lines>
  <Paragraphs>1</Paragraphs>
  <TotalTime>1</TotalTime>
  <ScaleCrop>false</ScaleCrop>
  <LinksUpToDate>false</LinksUpToDate>
  <CharactersWithSpaces>110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2020-12-23T08:02:00Z</dcterms:created>
  <dc:creator>泡沫</dc:creator>
  <cp:lastModifiedBy>泡沫</cp:lastModifiedBy>
  <cp:lastPrinted>2021-12-13T03:07:00Z</cp:lastPrinted>
  <dcterms:modified xsi:type="dcterms:W3CDTF">2022-03-10T02:42:54Z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 linkTarget="条文说明标记">
    <vt:lpwstr>无</vt:lpwstr>
  </property>
  <property fmtid="{D5CDD505-2E9C-101B-9397-08002B2CF9AE}" pid="3" name="文件标记" linkTarget="文件标记">
    <vt:lpwstr>蓝元软件</vt:lpwstr>
  </property>
  <property fmtid="{D5CDD505-2E9C-101B-9397-08002B2CF9AE}" pid="4" name="标准版本" linkTarget="标准版本">
    <vt:lpwstr>2020</vt:lpwstr>
  </property>
  <property fmtid="{D5CDD505-2E9C-101B-9397-08002B2CF9AE}" pid="5" name="ICS" linkTarget="ICS">
    <vt:lpwstr>65.020.20</vt:lpwstr>
  </property>
  <property fmtid="{D5CDD505-2E9C-101B-9397-08002B2CF9AE}" pid="6" name="CCS" linkTarget="CCS">
    <vt:lpwstr>B 05</vt:lpwstr>
  </property>
  <property fmtid="{D5CDD505-2E9C-101B-9397-08002B2CF9AE}" pid="7" name="BAH" linkTarget="BAH">
    <vt:lpwstr>备案号：</vt:lpwstr>
  </property>
  <property fmtid="{D5CDD505-2E9C-101B-9397-08002B2CF9AE}" pid="8" name="BT" linkTarget="BT">
    <vt:lpwstr>团    体    标    准</vt:lpwstr>
  </property>
  <property fmtid="{D5CDD505-2E9C-101B-9397-08002B2CF9AE}" pid="9" name="BZBH" linkTarget="BZBH">
    <vt:lpwstr>T/QHNX XXXX-2020</vt:lpwstr>
  </property>
  <property fmtid="{D5CDD505-2E9C-101B-9397-08002B2CF9AE}" pid="10" name="TDBH" linkTarget="TDBH">
    <vt:lpwstr/>
  </property>
  <property fmtid="{D5CDD505-2E9C-101B-9397-08002B2CF9AE}" pid="11" name="BZMC" linkTarget="BZMC">
    <vt:lpwstr>青海省黄芪种苗质量标准</vt:lpwstr>
  </property>
  <property fmtid="{D5CDD505-2E9C-101B-9397-08002B2CF9AE}" pid="12" name="YWMC" linkTarget="YWMC">
    <vt:lpwstr>英文名称</vt:lpwstr>
  </property>
  <property fmtid="{D5CDD505-2E9C-101B-9397-08002B2CF9AE}" pid="13" name="CBCD" linkTarget="CBCD">
    <vt:lpwstr>（与国际标准一致性程度的标识）</vt:lpwstr>
  </property>
  <property fmtid="{D5CDD505-2E9C-101B-9397-08002B2CF9AE}" pid="14" name="WGLB" linkTarget="WGLB">
    <vt:lpwstr>（送审稿）</vt:lpwstr>
  </property>
  <property fmtid="{D5CDD505-2E9C-101B-9397-08002B2CF9AE}" pid="15" name="FBRQ" linkTarget="FBRQ">
    <vt:lpwstr>20XX—XX—XX</vt:lpwstr>
  </property>
  <property fmtid="{D5CDD505-2E9C-101B-9397-08002B2CF9AE}" pid="16" name="SSRQ" linkTarget="SSRQ">
    <vt:lpwstr>20XX—XX—XX</vt:lpwstr>
  </property>
  <property fmtid="{D5CDD505-2E9C-101B-9397-08002B2CF9AE}" pid="17" name="BZLX" linkTarget="BZLX">
    <vt:lpwstr>T/QHNX</vt:lpwstr>
  </property>
  <property fmtid="{D5CDD505-2E9C-101B-9397-08002B2CF9AE}" pid="18" name="标准类型" linkTarget="标准类型">
    <vt:lpwstr>TB</vt:lpwstr>
  </property>
  <property fmtid="{D5CDD505-2E9C-101B-9397-08002B2CF9AE}" pid="19" name="FBDW" linkTarget="FBDW">
    <vt:lpwstr>青海省农学会</vt:lpwstr>
  </property>
  <property fmtid="{D5CDD505-2E9C-101B-9397-08002B2CF9AE}" pid="20" name="IMAGE" linkTarget="IMAGE">
    <vt:lpwstr/>
  </property>
  <property fmtid="{D5CDD505-2E9C-101B-9397-08002B2CF9AE}" pid="21" name="KSOProductBuildVer">
    <vt:lpwstr>2052-11.1.0.10577</vt:lpwstr>
  </property>
  <property fmtid="{D5CDD505-2E9C-101B-9397-08002B2CF9AE}" pid="22" name="ICV">
    <vt:lpwstr>8D1CF59F8161433DBB62DA9DE62BF1B0</vt:lpwstr>
  </property>
</Properties>
</file>