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6"/>
        <w:bidi w:val="0"/>
        <w:rPr>
          <w:rFonts w:hint="eastAsia"/>
        </w:rPr>
      </w:pPr>
      <w:bookmarkStart w:id="0" w:name="标准封面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141605</wp:posOffset>
                </wp:positionV>
                <wp:extent cx="3960495" cy="914400"/>
                <wp:effectExtent l="0" t="0" r="1905" b="0"/>
                <wp:wrapNone/>
                <wp:docPr id="14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8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167.25pt;margin-top:11.15pt;height:72pt;width:311.85pt;z-index:251660288;mso-width-relative:page;mso-height-relative:page;" fillcolor="#FFFFFF [3201]" filled="t" stroked="f" coordsize="21600,21600" o:gfxdata="UEsDBAoAAAAAAIdO4kAAAAAAAAAAAAAAAAAEAAAAZHJzL1BLAwQUAAAACACHTuJAb8DVnNoAAAAK&#10;AQAADwAAAGRycy9kb3ducmV2LnhtbE2PwU7DMBBE70j8g7VI3KjdhAYT4vRQwQUJJAKVys2NlyRq&#10;bKex05S/ZznBcTVPM2+L9dn27IRj6LxTsFwIYOhqbzrXKPh4f7qRwELUzujeO1TwjQHW5eVFoXPj&#10;Z/eGpyo2jEpcyLWCNsYh5zzULVodFn5AR9mXH62OdI4NN6Oeqdz2PBEi41Z3jhZaPeCmxfpQTVaB&#10;vNvK+VO/HDaPMh6nXXUUz6+ZUtdXS/EALOI5/sHwq0/qUJLT3k/OBNYrSNPbFaEKkiQFRsD9SibA&#10;9kRmWQq8LPj/F8ofUEsDBBQAAAAIAIdO4kBnak03XQIAAIwEAAAOAAAAZHJzL2Uyb0RvYy54bWyt&#10;VM1uEzEQviPxDpbvdDdpGtEomyqkCkKqaKWCODteb9aS7TG2k93wAPACqBdOvXDgzgmJt+Gnb8HY&#10;m6RQOPRADs54PH/fNzM7Pmm1ImvhvART0N5BTokwHEpplgV9+WL+6DElPjBTMgVGFHQjPD2ZPHww&#10;buxI9KEGVQpHMIjxo8YWtA7BjrLM81po5g/ACoOPFTjNAl7dMisdazC6Vlk/z4dZA660DrjwHrWn&#10;3SPdRnT3CQhVJbk4Bb7SwoQuqhOKBYTka2k9naRqq0rwcF5VXgSiCopIQzoxCcqLeGaTMRstHbO1&#10;5NsS2H1KuINJM2kw6T7UKQuMrJz8K5SW3IGHKhxw0FkHJDGCKHr5HW4ua2ZFwoJUe7sn3f+/sPz5&#10;+sIRWeIkDCgxTGPHbz5e3Vx//vnu04/3X75fv/324Ws/8tRYP0LzS4sOoX0CLfrs9B6VEX5bOR3/&#10;ERjBd2R5s2dZtIFwVB4eD/PB8RElHN+Oe4NBntqQ3Xpb58NTAZpEoaAOu5jIZeszH7ASNN2ZxGQe&#10;lCznUql0ccvFTDmyZtjxefrFItHlDzNlSFPQ4eFRniIbiP6dnTJoHsF2oKIU2kW7ZWAB5QYJcNCN&#10;krd8LrHKM+bDBXM4O4gZtyuc41EpwCSwlSipwb35lz7aY0vxlZIGZ7Gg/vWKOUGJemaw2XFwd4JL&#10;QqINR3inNSs9AwTcw921PIno5ILaiZUD/QoXbxoz4RMzHPMVNOzEWei2AheXi+k0GeGIWhbOzKXl&#10;MXSk18B0FaCSqQ2Rmo6PLWM4pInq7ULFLfj9nqxuPyKT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/A1ZzaAAAACgEAAA8AAAAAAAAAAQAgAAAAIgAAAGRycy9kb3ducmV2LnhtbFBLAQIUABQAAAAI&#10;AIdO4kBnak03XQIAAIwEAAAOAAAAAAAAAAEAIAAAACk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8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33655</wp:posOffset>
                </wp:positionV>
                <wp:extent cx="1800225" cy="720090"/>
                <wp:effectExtent l="0" t="0" r="9525" b="3810"/>
                <wp:wrapNone/>
                <wp:docPr id="13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ICS 65.020.20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CCS B 05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0pt;margin-top:2.65pt;height:56.7pt;width:141.75pt;z-index:251659264;mso-width-relative:page;mso-height-relative:page;" fillcolor="#FFFFFF [3201]" filled="t" stroked="f" coordsize="21600,21600" o:gfxdata="UEsDBAoAAAAAAIdO4kAAAAAAAAAAAAAAAAAEAAAAZHJzL1BLAwQUAAAACACHTuJAuzTu9tcAAAAG&#10;AQAADwAAAGRycy9kb3ducmV2LnhtbE2PwU7DMBBE70j8g7VI3KiTVm2tNE4PFVyQQCIFCW7beJtE&#10;je00dpry9ywnOI5mNPMm315tJy40hNY7DeksAUGu8qZ1tYb3/dODAhEiOoOdd6ThmwJsi9ubHDPj&#10;J/dGlzLWgktcyFBDE2OfSRmqhiyGme/JsXf0g8XIcqilGXDictvJeZKspMXW8UKDPe0aqk7laDWo&#10;9YeavvDltHtU8Tx+lufk+XWl9f1dmmxARLrGvzD84jM6FMx08KMzQXQa+EjUsFyAYHOuFksQB06l&#10;ag2yyOV//OIHUEsDBBQAAAAIAIdO4kDRoTMBXQIAAIwEAAAOAAAAZHJzL2Uyb0RvYy54bWytVM1u&#10;EzEQviPxDpbvZDfpD22UTRUaBSFVtFJBnB2vN2vJ9hjbyW55AHiBigunXjhw54TE2/DTt2DszbZQ&#10;OPRADs7Y8/t9M7OTo1YrshHOSzAFHQ5ySoThUEqzKujLF4tHB5T4wEzJFBhR0Avh6dH04YNJY8di&#10;BDWoUjiCQYwfN7agdQh2nGWe10IzPwArDCorcJoFvLpVVjrWYHStslGe72cNuNI64MJ7fJ13SrqN&#10;6O4TEKpKcjEHvtbChC6qE4oFhORraT2dpmqrSvBwWlVeBKIKikhDOjEJyst4ZtMJG68cs7Xk2xLY&#10;fUq4g0kzaTDpTag5C4ysnfwrlJbcgYcqDDjorAOSGEEUw/wON+c1syJhQaq9vSHd/7+w/PnmzBFZ&#10;4iTsUGKYxo5ff3x/ffX557tPPy6/fL96++3D11HkqbF+jObnFh1C+wRa9OnfPT5G+G3ldPxHYAT1&#10;yPLFDcuiDYRHp4M8H432KOGoe4wjcZjakN16W+fDUwGaRKGgDruYyGWbEx+wEjTtTWIyD0qWC6lU&#10;urjV8lg5smHY8UX6xSLR5Q8zZUhT0P2dvTxFNhD9Oztl0DyC7UBFKbTLdsvAEsoLJMBBN0re8oXE&#10;Kk+YD2fM4ewgZtyucIpHpQCTwFaipAb35l/v0R5bilpKGpzFgvrXa+YEJeqZwWbHwe0Fl4TD4e5u&#10;HOH+1az1MSDgIe6u5UlEtQuqFysH+hUu3ixmQhUzHPMVNPTicei2AheXi9ksGeGIWhZOzLnlMXSk&#10;18BsHaCSqQ2Rmo6PLWM4pInq7ULFLfj9nqxuPyL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s0&#10;7vbXAAAABgEAAA8AAAAAAAAAAQAgAAAAIgAAAGRycy9kb3ducmV2LnhtbFBLAQIUABQAAAAIAIdO&#10;4kDRoTMBXQIAAIw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ICS 65.020.20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CCS B 05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131445</wp:posOffset>
                </wp:positionV>
                <wp:extent cx="6120765" cy="648335"/>
                <wp:effectExtent l="0" t="0" r="13335" b="18415"/>
                <wp:wrapNone/>
                <wp:docPr id="15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9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团    体    标    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0pt;margin-top:10.35pt;height:51.05pt;width:481.95pt;z-index:251661312;mso-width-relative:page;mso-height-relative:page;" fillcolor="#FFFFFF [3201]" filled="t" stroked="f" coordsize="21600,21600" o:gfxdata="UEsDBAoAAAAAAIdO4kAAAAAAAAAAAAAAAAAEAAAAZHJzL1BLAwQUAAAACACHTuJAw2TUVNcAAAAH&#10;AQAADwAAAGRycy9kb3ducmV2LnhtbE2PwU7DMBBE70j8g7VI3KjdIKVuGqeHCi5IIBFAordtsiRR&#10;43UaO035e8wJjqMZzbzJtxfbizONvnNsYLlQIIgrV3fcGHh/e7zTIHxArrF3TAa+ycO2uL7KMavd&#10;zK90LkMjYgn7DA20IQyZlL5qyaJfuIE4el9utBiiHBtZjzjHctvLRKlUWuw4LrQ40K6l6lhO1oBe&#10;feh5j8/H3YMOp+mzPKmnl9SY25ul2oAIdAl/YfjFj+hQRKaDm7j2ojcQjwQDiVqBiO46vV+DOMRY&#10;kmiQRS7/8xc/UEsDBBQAAAAIAIdO4kDA0hFgXQIAAIwEAAAOAAAAZHJzL2Uyb0RvYy54bWytVM1u&#10;EzEQviPxDpbvZJOmCSXqpgqtgpAiWikgzo7Xm7Vke4ztZDc8ALwA4sKpFw7cOSHxNvz0LRh7Ny0U&#10;Dj2QgzP2jL/x983MHp80WpGtcF6Cyemg16dEGA6FNOucvng+f3BEiQ/MFEyBETndCU9PpvfvHdd2&#10;Ig6gAlUIRxDE+Eltc1qFYCdZ5nklNPM9sMKgswSnWcCtW2eFYzWia5Ud9PvjrAZXWAdceI+nZ62T&#10;dojuLoBQlpKLM+AbLUxoUZ1QLCAlX0nr6TS9tiwFD+dl6UUgKqfINKQVk6C9ims2PWaTtWO2krx7&#10;ArvLE25x0kwaTHoNdcYCIxsn/4LSkjvwUIYeB521RJIiyGLQv6XNsmJWJC4otbfXovv/B8ufbS8c&#10;kQV2wogSwzRW/Orj+6vLzz/ffvrx7sv3yzffPnwdRp1q6ycYvrR4ITSPocE7+3OPh5F+Uzod/5EY&#10;QT+qvLtWWTSBcDwcDw76D8eYjaNvfHg0HI4iTHZz2zofngjQJBo5dVjFJC7bLnxoQ/chMZkHJYu5&#10;VCpt3Hp1qhzZMqz4PP069D/ClCE1Zh+O+gnZQLzfQiuDj4lkW1LRCs2q6RRYQbFDARy0reQtn0t8&#10;5YL5cMEc9g5yxukK57iUCjAJdBYlFbjX/zqP8VhS9FJSYy/m1L/aMCcoUU8NFjs27t5wyXg0ODyM&#10;Lbw/NRt9Ckh4gLNreTLR7YLam6UD/RIHbxYzoYsZjvlyGvbmaWinAgeXi9ksBWGLWhYWZml5hI7y&#10;GphtApQylSFK0+rRKYZNmgrZDVScgt/3KermIzL9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Nk&#10;1FTXAAAABwEAAA8AAAAAAAAAAQAgAAAAIgAAAGRycy9kb3ducmV2LnhtbFBLAQIUABQAAAAIAIdO&#10;4kDA0hFgXQIAAIw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9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团    体    标    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284" w:right="851" w:bottom="1134" w:left="1418" w:header="284" w:footer="1134" w:gutter="0"/>
          <w:lnNumType w:countBy="0" w:restart="continuous"/>
          <w:pgNumType w:fmt="upperRoman" w:start="1"/>
          <w:cols w:space="425" w:num="1"/>
          <w:titlePg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4465955</wp:posOffset>
                </wp:positionH>
                <wp:positionV relativeFrom="page">
                  <wp:posOffset>9763760</wp:posOffset>
                </wp:positionV>
                <wp:extent cx="810895" cy="184150"/>
                <wp:effectExtent l="0" t="0" r="8255" b="6350"/>
                <wp:wrapNone/>
                <wp:docPr id="23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8" o:spid="_x0000_s1026" o:spt="202" type="#_x0000_t202" style="position:absolute;left:0pt;margin-left:351.65pt;margin-top:768.8pt;height:14.5pt;width:63.85pt;mso-position-horizontal-relative:page;mso-position-vertical-relative:page;mso-wrap-style:none;z-index:251669504;mso-width-relative:page;mso-height-relative:page;" fillcolor="#FFFFFF [3201]" filled="t" stroked="f" coordsize="21600,21600" o:gfxdata="UEsDBAoAAAAAAIdO4kAAAAAAAAAAAAAAAAAEAAAAZHJzL1BLAwQUAAAACACHTuJAq7Wcj9sAAAAN&#10;AQAADwAAAGRycy9kb3ducmV2LnhtbE2PwU7DMBBE70j8g7VIXCJqhwi3SuP0gISQkDjQBs7b2E2i&#10;xHaI3TT8PdsTHHfmaXam2C12YLOZQuedgnQlgBlXe925RkF1eHnYAAsRncbBO6PgxwTYlbc3Beba&#10;X9yHmfexYRTiQo4K2hjHnPNQt8ZiWPnROPJOfrIY6Zwarie8ULgd+KMQklvsHH1ocTTPran7/dkq&#10;aOb+7fN9eeWylxV+HZLku/KJUvd3qdgCi2aJfzBc61N1KKnT0Z+dDmxQsBZZRigZT9laAiNkk6U0&#10;73iVpJTAy4L/X1H+AlBLAwQUAAAACACHTuJA5oJi31UCAACGBAAADgAAAGRycy9lMm9Eb2MueG1s&#10;rVTLbhMxFN0j8Q+W93SStFRV1EkVWgUhVbRSQawdjydjyS/ZTmbKB8APIDasumHBnhUSf8Ojf8Gx&#10;J9NCYdEFWTjXvs9z7r1zeNRpRTbCB2lNScc7I0qE4baSZlXSly8Wjw4oCZGZiilrREkvRaBHs4cP&#10;Dls3FRPbWFUJTxDEhGnrStrE6KZFEXgjNAs71gkDZW29ZhFXvyoqz1pE16qYjEb7RWt95bzlIgS8&#10;nvRKuo3o7xPQ1rXk4sTytRYm9lG9UCwCUmikC3SWq61rweNZXQcRiSopkMZ8IgnkZTqL2SGbrjxz&#10;jeTbEth9SriDSTNpkPQm1AmLjKy9/CuUltzbYOu4w60ueiCZEaAYj+5wc9EwJzIWUB3cDenh/4Xl&#10;zzfnnsiqpJNdSgzT6Pj1x/fXV59/vv30492X71dvvn34epB4al2YwvzCwSF2T2yH6RneAx4T/K72&#10;Ov0DGIEeLF/esCy6SHhy2ptM9kZQcejGB3vjx7kNxa238yE+FVaTJJTUo4uZXLY5DRGVwHQwScmC&#10;VbJaSKXyxa+Wx8qTDUPHF/mXioTLH2bKkLak+7vInbyMTf69nTIwT2B7UEmK3bLbMrC01SUI8LYf&#10;peD4QqLKUxbiOfOYHQDDdsUzHLWySGK3EiWN9a//9Z7s0VJoKWkxiyU1WD1K1DODViNgHAQ/CMtB&#10;MGt9bAF1jK11PItw8FENYu2tfoWVm6ccUDHDkamkcRCPY78PWFku5vNshOF0LJ6aC8dT6J6i+Tra&#10;WuYGJFJ6JrZcYTwzydtVSvP/+z1b3X4+Z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7Wcj9sA&#10;AAANAQAADwAAAAAAAAABACAAAAAiAAAAZHJzL2Rvd25yZXYueG1sUEsBAhQAFAAAAAgAh07iQOaC&#10;Yt9VAgAAhgQAAA4AAAAAAAAAAQAgAAAAKg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2464435</wp:posOffset>
                </wp:positionH>
                <wp:positionV relativeFrom="page">
                  <wp:posOffset>9738360</wp:posOffset>
                </wp:positionV>
                <wp:extent cx="2001520" cy="234950"/>
                <wp:effectExtent l="0" t="0" r="17780" b="12700"/>
                <wp:wrapNone/>
                <wp:docPr id="22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5"/>
                              <w:bidi w:val="0"/>
                              <w:jc w:val="distribute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7" o:spid="_x0000_s1026" o:spt="202" type="#_x0000_t202" style="position:absolute;left:0pt;margin-left:194.05pt;margin-top:766.8pt;height:18.5pt;width:157.6pt;mso-position-horizontal-relative:page;mso-position-vertical-relative:page;mso-wrap-style:none;z-index:251668480;mso-width-relative:page;mso-height-relative:page;" fillcolor="#FFFFFF [3201]" filled="t" stroked="f" coordsize="21600,21600" o:gfxdata="UEsDBAoAAAAAAIdO4kAAAAAAAAAAAAAAAAAEAAAAZHJzL1BLAwQUAAAACACHTuJA2er6FNoAAAAN&#10;AQAADwAAAGRycy9kb3ducmV2LnhtbE2PwU6EMBCG7ya+QzMmXojbYiNLkLIHE2Ni4sFd9DxLRyDQ&#10;FmmXxbe3e9LjzP/ln2/K3WpGttDse2cVpBsBjGzjdG9bBfXh+S4H5gNajaOzpOCHPOyq66sSC+3O&#10;9p2WfWhZLLG+QAVdCFPBuW86Mug3biIbsy83GwxxnFuuZzzHcjPyeyEybrC38UKHEz111Az7k1HQ&#10;LsPrx9v6wrMhq/HzkCTftUuUur1JxSOwQGv4g+GiH9Whik5Hd7Las1GBzPM0ojF4kDIDFpGtkBLY&#10;8bLaigx4VfL/X1S/UEsDBBQAAAAIAIdO4kA9KVnAVgIAAIYEAAAOAAAAZHJzL2Uyb0RvYy54bWyt&#10;VM1uEzEQviPxDpbvZJOUhhJlU4VWQUgVrRQQZ8frzVqyPZbtZLc8ALwA4sKpFw7cOSHxNvz0LRh7&#10;d1MoHHogB2fs+f2+mdnZcaMV2QnnJZicjgZDSoThUEizyenLF8sHR5T4wEzBFBiR00vh6fH8/r1Z&#10;badiDBWoQjiCQYyf1janVQh2mmWeV0IzPwArDCpLcJoFvLpNVjhWY3StsvFwOMlqcIV1wIX3+Hra&#10;KmkX0d0lIJSl5OIU+FYLE9qoTigWEJKvpPV0nqotS8HDeVl6EYjKKSIN6cQkKK/jmc1nbLpxzFaS&#10;dyWwu5RwC5Nm0mDSfahTFhjZOvlXKC25Aw9lGHDQWQskMYIoRsNb3KwqZkXCglR7uyfd/7+w/Pnu&#10;whFZ5HQ8psQwjR2//vj++urzz7effrz78v3qzbcPXx9Fnmrrp2i+sugQmifQ4PT07x4fI/ymdDr+&#10;IzCCemT5cs+yaALh0enocDSZoIqjbnzw8PFhakN2422dD08FaBKFnDrsYiKX7c58wErQtDeJyTwo&#10;WSylUuniNusT5ciOYceX6ReLRJc/zJQhdU4nB5g7ehmI/q2dMmgewbagohSaddMxsIbiEglw0I6S&#10;t3wpscoz5sMFczg7CAy3K5zjUSrAJNBJlFTgXv/rPdpjS1FLSY2zmFODq0eJemaw1Rgw9ILrhXUv&#10;mK0+AYQ6wq21PIno4ILqxdKBfoUrt4g5UMUMx0w5Db14Etp9wJXlYrFIRjicloUzs7I8hm4pWmwD&#10;lDI1IJLSMtFxheOZSO5WKc7/7/dkdfP5mP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2er6FNoA&#10;AAANAQAADwAAAAAAAAABACAAAAAiAAAAZHJzL2Rvd25yZXYueG1sUEsBAhQAFAAAAAgAh07iQD0p&#10;WcBWAgAAhgQAAA4AAAAAAAAAAQAgAAAAK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5"/>
                        <w:bidi w:val="0"/>
                        <w:jc w:val="distribute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青海省农学会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7000875</wp:posOffset>
                </wp:positionV>
                <wp:extent cx="6121400" cy="635"/>
                <wp:effectExtent l="0" t="0" r="0" b="0"/>
                <wp:wrapNone/>
                <wp:docPr id="21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6" o:spid="_x0000_s1026" o:spt="20" style="position:absolute;left:0pt;margin-left:-0.9pt;margin-top:551.25pt;height:0.05pt;width:482pt;z-index:251667456;mso-width-relative:page;mso-height-relative:page;" filled="f" stroked="t" coordsize="21600,21600" o:gfxdata="UEsDBAoAAAAAAIdO4kAAAAAAAAAAAAAAAAAEAAAAZHJzL1BLAwQUAAAACACHTuJA6H6RU9gAAAAM&#10;AQAADwAAAGRycy9kb3ducmV2LnhtbE2PwU7DMAyG70i8Q2QkblvaSnSja7oDEgckJKBw4Ji1XtuR&#10;OCXJ2vL2GHGAo3//+vy53C/WiAl9GBwpSNcJCKTGtQN1Ct5e71dbECFqarVxhAq+MMC+urwoddG6&#10;mV5wqmMnGEKh0Ar6GMdCytD0aHVYuxGJd0fnrY48+k62Xs8Mt0ZmSZJLqwfiC70e8a7H5qM+W6bQ&#10;5vO4GP/+/PTYb+v5hA/TBpW6vkqTHYiIS/wrw48+q0PFTgd3pjYIo2CVsnnkPE2yGxDcuM2zDMTh&#10;N8pBVqX8/0T1DVBLAwQUAAAACACHTuJA/VwudusBAAC2AwAADgAAAGRycy9lMm9Eb2MueG1srVNL&#10;jhMxEN0jcQfLe9KdANGolc4sJho2CCIBB6i43d2W/JPLk04uABdAbFjNhgV7Vkjchs/cgrI7k/mw&#10;mQW9cJfr81zvubw43RnNtjKgcrbm00nJmbTCNcp2NX/39vzJCWcYwTagnZU130vkp8vHjxaDr+TM&#10;9U43MjACsVgNvuZ9jL4qChS9NIAT56WlYOuCgUjb0BVNgIHQjS5mZTkvBhcaH5yQiORdjUF+QAwP&#10;AXRtq4RcOXFhpI0japAaIlHCXnnky9xt20oRX7ctysh0zYlpzCsdQvYmrcVyAVUXwPdKHFqAh7Rw&#10;j5MBZenQI9QKIrCLoP6BMkoEh66NE+FMMRLJihCLaXlPmzc9eJm5kNToj6Lj/4MVr7brwFRT89mU&#10;MwuGbvzqy6ery29/Pnz9/fH7r8v3Pz//mCedBo8VpZ/ZdTjs0K9DIr1rg0l/osN2Wdv9UVu5i0yQ&#10;cz6dTZ+VJLug2Pzp84RY3JT6gPGFdIYlo+Za2UQcKti+xDimXqckt3XnSmvyQ6UtGzJiwgYayJYG&#10;gUzjiRTajjPQHU26iCEjotOqSdWpGEO3OdOBbSHNR/4Ojd1JS0evAPsxL4dSGlRGRXoMWpman9yu&#10;1pbYJcFGiZK1cc0+K5f9dJ2Z/2H00rzc3ufqm+e2/A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o&#10;fpFT2AAAAAwBAAAPAAAAAAAAAAEAIAAAACIAAABkcnMvZG93bnJldi54bWxQSwECFAAUAAAACACH&#10;TuJA/VwudusBAAC2AwAADgAAAAAAAAABACAAAAAnAQAAZHJzL2Uyb0RvYy54bWxQSwUGAAAAAAYA&#10;BgBZAQAAhAUAAAAA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6648450</wp:posOffset>
                </wp:positionV>
                <wp:extent cx="2880360" cy="360045"/>
                <wp:effectExtent l="0" t="0" r="15240" b="1905"/>
                <wp:wrapNone/>
                <wp:docPr id="20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91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255.1pt;margin-top:523.5pt;height:28.35pt;width:226.8pt;z-index:251666432;mso-width-relative:page;mso-height-relative:page;" fillcolor="#FFFFFF [3201]" filled="t" stroked="f" coordsize="21600,21600" o:gfxdata="UEsDBAoAAAAAAIdO4kAAAAAAAAAAAAAAAAAEAAAAZHJzL1BLAwQUAAAACACHTuJAWGe5uNsAAAAN&#10;AQAADwAAAGRycy9kb3ducmV2LnhtbE2PQU+DQBCF7yb+h82YeLO7tAqILD00ejHRRNSkvW1hBFJ2&#10;lrJLqf/e8aTHee/Lm/fy9dn24oSj7xxpiBYKBFLl6o4aDR/vTzcpCB8M1aZ3hBq+0cO6uLzITVa7&#10;md7wVIZGcAj5zGhoQxgyKX3VojV+4QYk9r7caE3gc2xkPZqZw20vl0rF0pqO+ENrBty0WB3KyWpI&#10;k8903pmXw+YxDcdpWx7V82us9fVVpB5ABDyHPxh+63N1KLjT3k1Ue9FruIvUklE21G3Cqxi5j1e8&#10;Zs9SpFYJyCKX/1cUP1BLAwQUAAAACACHTuJAVBSo2V4CAACMBAAADgAAAGRycy9lMm9Eb2MueG1s&#10;rVTNbhMxEL4j8Q6W73Q36Y9K1E0VWgUhVbRSQZwdrze7ktdjbCfZ8gDwAqgXTr1w4M4Jibfhp2/B&#10;Z2/SQuHQAzk445nxNzPfzOzBYddqtlTON2QKPtjKOVNGUtmYecFfvpg+2ufMB2FKocmogl8ozw/H&#10;Dx8crOxIDakmXSrHAGL8aGULXodgR1nmZa1a4bfIKgNjRa4VAVc3z0onVkBvdTbM871sRa60jqTy&#10;Htrj3sjXiO4+gFRVjVTHJBetMqFHdUqLgJJ83VjPxynbqlIynFaVV4HpgqPSkE4EgTyLZzY+EKO5&#10;E7Zu5DoFcZ8U7tTUisYg6A3UsQiCLVzzF1TbSEeeqrAlqc36QhIjqGKQ3+HmvBZWpVpAtbc3pPv/&#10;ByufL88ca8qCD0GJES06fv3x8vrq8893n368//L96u23D193I08r60dwP7d4ELon1GF6NnoPZSy/&#10;q1wb/1EYgx2QFzcsqy4wCeVwfz/f3oNJwgYh30nw2e1r63x4qqhlUSi4QxcTuWJ54gMygevGJQbz&#10;pJty2midLm4+O9KOLQU6Pk2/mCSe/OGmDVsVfG97N0/IhuL73k8buMdi+6KiFLpZt2ZgRuUFCHDU&#10;j5K3ctogyxPhw5lwmB0Uhu0KpzgqTQhCa4mzmtybf+mjP1oKK2crzGLB/euFcIoz/cyg2YAMG8El&#10;4fFgZwfa2UZrFu0RoeABdtfKJMLsgt6IlaP2FRZvEiPBJIxEvIKHjXgU+q3A4ko1mSQnjKgV4cSc&#10;WxmhI72GJotAVZPaEKnp+VgzhiFNVK8XKm7B7/fkdfsRGf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WGe5uNsAAAANAQAADwAAAAAAAAABACAAAAAiAAAAZHJzL2Rvd25yZXYueG1sUEsBAhQAFAAA&#10;AAgAh07iQFQUqNleAgAAjAQAAA4AAAAAAAAAAQAgAAAAKg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91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6648450</wp:posOffset>
                </wp:positionV>
                <wp:extent cx="2880360" cy="360045"/>
                <wp:effectExtent l="0" t="0" r="15240" b="1905"/>
                <wp:wrapNone/>
                <wp:docPr id="19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0pt;margin-top:523.5pt;height:28.35pt;width:226.8pt;z-index:251665408;mso-width-relative:page;mso-height-relative:page;" fillcolor="#FFFFFF [3201]" filled="t" stroked="f" coordsize="21600,21600" o:gfxdata="UEsDBAoAAAAAAIdO4kAAAAAAAAAAAAAAAAAEAAAAZHJzL1BLAwQUAAAACACHTuJAt4kzX9oAAAAK&#10;AQAADwAAAGRycy9kb3ducmV2LnhtbE2PQU+DQBCF7yb+h82YeLO72AoEWXpo9GKiiahJe5vCCKTs&#10;LmWXUv+946neZt6bvPlevj6bXpxo9J2zGqKFAkG2cnVnGw2fH893KQgf0NbYO0safsjDuri+yjGr&#10;3Wzf6VSGRnCI9RlqaEMYMil91ZJBv3ADWfa+3Wgw8Do2sh5x5nDTy3ulYmmws/yhxYE2LVWHcjIa&#10;0uQrnXf4etg8peE4bcujenmLtb69idQjiEDncDmGP3xGh4KZ9m6ytRe9Bi4SWFWrhCf2Vw/LGMSe&#10;pUgtE5BFLv9XKH4BUEsDBBQAAAAIAIdO4kBFhexJXgIAAIwEAAAOAAAAZHJzL2Uyb0RvYy54bWyt&#10;VM1uEzEQviPxDpbvdDf9Uxt1U4VWQUgVrRQQZ8frza7k9RjbSbY8ALwA4sKpFw7cOSHxNvz0Lfjs&#10;TVooHHogB2c8M56Z75uZPTruWs2WyvmGTMEHWzlnykgqGzMv+Ivnk0cHnPkgTCk0GVXwS+X58ejh&#10;g6OVHaptqkmXyjEEMX64sgWvQ7DDLPOyVq3wW2SVgbEi14qAq5tnpRMrRG91tp3n+9mKXGkdSeU9&#10;tKe9ka8juvsEpKpqpDoluWiVCX1Up7QIgOTrxno+StVWlZLhvKq8CkwXHEhDOpEE8iye2ehIDOdO&#10;2LqR6xLEfUq4g6kVjUHSm1CnIgi2cM1fodpGOvJUhS1JbdYDSYwAxSC/w820FlYlLKDa2xvS/f8L&#10;K58tLxxrSkzCIWdGtOj49cf311eff7799OPdl+9Xb759+LoXeVpZP4T71OJB6B5ThzcbvYcywu8q&#10;18Z/AGOwg+XLG5ZVF5iEcvvgIN/Zh0nCBiHfTeGz29fW+fBEUcuiUHCHLiZyxfLMB1QC141LTOZJ&#10;N+Wk0Tpd3Hx2oh1bCnR8kn6xSDz5w00btir4/s5eniIbiu97P23gHsH2oKIUulm3ZmBG5SUIcNSP&#10;krdy0qDKM+HDhXCYHQDDdoVzHJUmJKG1xFlN7vW/9NEfLYWVsxVmseD+1UI4xZl+atBshAwbwSXh&#10;cLC7C+1sozWL9oQAeIDdtTKJMLugN2LlqH2JxRvHTDAJI5Gv4GEjnoR+K7C4Uo3HyQkjakU4M1Mr&#10;Y+hIr6HxIlDVpDZEano+1oxhSBPV64WKW/D7PXndfkRG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3iTNf2gAAAAoBAAAPAAAAAAAAAAEAIAAAACIAAABkcnMvZG93bnJldi54bWxQSwECFAAUAAAA&#10;CACHTuJARYXsSV4CAACMBAAADgAAAAAAAAABACAAAAAp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1895475</wp:posOffset>
                </wp:positionV>
                <wp:extent cx="6120765" cy="4320540"/>
                <wp:effectExtent l="0" t="0" r="13335" b="3810"/>
                <wp:wrapNone/>
                <wp:docPr id="18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8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杂交油菜机械化良种繁育技术规程</w:t>
                            </w:r>
                          </w:p>
                          <w:p>
                            <w:pPr>
                              <w:pStyle w:val="271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报批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4" o:spid="_x0000_s1026" o:spt="202" type="#_x0000_t202" style="position:absolute;left:0pt;margin-left:0pt;margin-top:149.25pt;height:340.2pt;width:481.95pt;z-index:251664384;mso-width-relative:page;mso-height-relative:page;" fillcolor="#FFFFFF [3201]" filled="t" stroked="f" coordsize="21600,21600" o:gfxdata="UEsDBAoAAAAAAIdO4kAAAAAAAAAAAAAAAAAEAAAAZHJzL1BLAwQUAAAACACHTuJA3Bvk69kAAAAI&#10;AQAADwAAAGRycy9kb3ducmV2LnhtbE2PwU7DMBBE70j8g7VI3KjTIlInxOmhggsSSASQ4ObGSxI1&#10;Xqex05S/ZzmV26xmNfOm2JxcL444hs6ThuUiAYFUe9tRo+H97fFGgQjRkDW9J9TwgwE25eVFYXLr&#10;Z3rFYxUbwSEUcqOhjXHIpQx1i86EhR+Q2Pv2ozORz7GRdjQzh7terpIklc50xA2tGXDbYr2vJqdB&#10;rT/U/GWe99sHFQ/TZ3VInl5Sra+vlsk9iIineH6GP3xGh5KZdn4iG0SvgYdEDatM3YFgO0tvMxA7&#10;FmuVgSwL+X9A+QtQSwMEFAAAAAgAh07iQExxUGpgAgAAjQQAAA4AAABkcnMvZTJvRG9jLnhtbK1U&#10;zW4TMRC+I/EOlu90N2laIOqmCq2CkCpaqSDOjtebXcnrMbaTbHkAeAHEhVMvHLhzQuJt+Olb8Nmb&#10;tPwdeiAHZzwznpnvm5k9OOxazVbK+YZMwQc7OWfKSCobsyj482ezew8480GYUmgyquAXyvPDyd07&#10;B2s7VkOqSZfKMQQxfry2Ba9DsOMs87JWrfA7ZJWBsSLXioCrW2SlE2tEb3U2zPP9bE2utI6k8h7a&#10;497INxHdbQJSVTVSHZNctsqEPqpTWgRA8nVjPZ+kaqtKyXBaVV4FpgsOpCGdSAJ5Hs9sciDGCyds&#10;3chNCeI2JfyBqRWNQdLrUMciCLZ0zV+h2kY68lSFHUlt1gNJjADFIP+Dm/NaWJWwgGpvr0n3/y+s&#10;fLo6c6wpMQnouxEtOn714d3V5acfbz5+f/v52+Xrr++/jCJPa+vHcD+3eBC6R9ThzVbvoYzwu8q1&#10;8R/AGOxg+eKaZdUFJqHcHwzz+/t7nEnYRrvDfG+U+pDdPLfOh8eKWhaFgju0MbErVic+oBS4bl1i&#10;Nk+6KWeN1uniFvMj7dhKoOWz9ItV4slvbtqwNWrZ3ctTZEPxfe+nDdwj2h5VlEI37zYUzKm8AAOO&#10;+lnyVs4aVHkifDgTDsMD0FivcIqj0oQktJE4q8m9+pc++qOnsHK2xjAW3L9cCqc4008Muh0ndyu4&#10;JDwcjMAam2+1ZtkeEQAPsLxWJhFmF/RWrBy1L7B505gJJmEk8hU8bMWj0K8FNleq6TQ5YUatCCfm&#10;3MoYOtJraLoMVDWpDZGano8NY5jSRPVmo+Ia/HpPXjdfkc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3Bvk69kAAAAIAQAADwAAAAAAAAABACAAAAAiAAAAZHJzL2Rvd25yZXYueG1sUEsBAhQAFAAA&#10;AAgAh07iQExxUGpgAgAAjQQAAA4AAAAAAAAAAQAgAAAAKA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8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杂交油菜机械化良种繁育技术规程</w:t>
                      </w:r>
                    </w:p>
                    <w:p>
                      <w:pPr>
                        <w:pStyle w:val="271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报批</w:t>
                      </w:r>
                      <w:r>
                        <w:rPr>
                          <w:rFonts w:hint="eastAsia"/>
                          <w:lang w:eastAsia="zh-CN"/>
                        </w:rPr>
                        <w:t>稿）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447675</wp:posOffset>
                </wp:positionV>
                <wp:extent cx="6121400" cy="635"/>
                <wp:effectExtent l="0" t="0" r="0" b="0"/>
                <wp:wrapNone/>
                <wp:docPr id="17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4" o:spid="_x0000_s1026" o:spt="20" style="position:absolute;left:0pt;margin-left:-0.9pt;margin-top:35.25pt;height:0.05pt;width:482pt;z-index:251663360;mso-width-relative:page;mso-height-relative:page;" filled="f" stroked="t" coordsize="21600,21600" o:gfxdata="UEsDBAoAAAAAAIdO4kAAAAAAAAAAAAAAAAAEAAAAZHJzL1BLAwQUAAAACACHTuJAX1W7WNYAAAAI&#10;AQAADwAAAGRycy9kb3ducmV2LnhtbE2PsU7DMBCGdyTewTokttZJJJIS4nRAYkBCAgIDoxtf44B9&#10;DrabhLfHnWC8+399912zX61hM/owOhKQbzNgSL1TIw0C3t8eNjtgIUpS0jhCAT8YYN9eXjSyVm6h&#10;V5y7OLAEoVBLATrGqeY89BqtDFs3IaXs6LyVMY1+4MrLJcGt4UWWldzKkdIFLSe819h/dSebKFR9&#10;H1fjP16en/SuWz7xca5QiOurPLsDFnGNf2U46yd1aJPTwZ1IBWYEbPJkHgVU2Q2wlN+WRQHscF6U&#10;wNuG/3+g/QVQSwMEFAAAAAgAh07iQFR2q5nrAQAAtgMAAA4AAABkcnMvZTJvRG9jLnhtbK1TvY4T&#10;MRDukXgHyz3ZJBzhtMrmiouOBkEk4AEmXu+uJf/J48smLwAvgGiorqGgp0Libfi5t2DsXXLH0VzB&#10;Ft7x/Hye7/N4ebY3mu1kQOVsxWeTKWfSClcr21b8zeuLR6ecYQRbg3ZWVvwgkZ+tHj5Y9r6Uc9c5&#10;XcvACMRi2fuKdzH6sihQdNIATpyXloKNCwYibUNb1AF6Qje6mE+ni6J3ofbBCYlI3vUQ5CNiuA+g&#10;axol5NqJSyNtHFCD1BCJEnbKI1/lbptGiviyaVBGpitOTGNe6RCyt2ktVkso2wC+U2JsAe7Twh1O&#10;BpSlQ49Qa4jALoP6B8ooERy6Jk6EM8VAJCtCLGbTO9q86sDLzIWkRn8UHf8frHix2wSmapqEp5xZ&#10;MHTj158+XF99+fXu88/3X39cvf3+8dtJ0qn3WFL6ud2EcYd+ExLpfRNM+hMdts/aHo7ayn1kgpyL&#10;2Xx2MiXZBcUWj58kxOKm1AeMz6QzLBkV18om4lDC7jnGIfVPSnJbd6G0Jj+U2rI+IyZsoIFsaBDI&#10;NJ5IoW05A93SpIsYMiI6repUnYoxtNtzHdgO0nzkb2zsr7R09BqwG/JyKKVBaVSkx6CVqfjp7Wpt&#10;iV0SbJAoWVtXH7Jy2U/XmfmPo5fm5fY+V988t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1W7&#10;WNYAAAAIAQAADwAAAAAAAAABACAAAAAiAAAAZHJzL2Rvd25yZXYueG1sUEsBAhQAFAAAAAgAh07i&#10;QFR2q5nrAQAAtgMAAA4AAAAAAAAAAQAgAAAAJQEAAGRycy9lMm9Eb2MueG1sUEsFBgAAAAAGAAYA&#10;WQEAAIIFAAAAAA==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-120650</wp:posOffset>
                </wp:positionV>
                <wp:extent cx="4320540" cy="720090"/>
                <wp:effectExtent l="0" t="0" r="3810" b="3810"/>
                <wp:wrapNone/>
                <wp:docPr id="16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5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 XXXX-2020</w:t>
                            </w:r>
                          </w:p>
                          <w:p>
                            <w:pPr>
                              <w:pStyle w:val="267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127.55pt;margin-top:-9.5pt;height:56.7pt;width:340.2pt;z-index:251662336;mso-width-relative:page;mso-height-relative:page;" fillcolor="#FFFFFF [3201]" filled="t" stroked="f" coordsize="21600,21600" o:gfxdata="UEsDBAoAAAAAAIdO4kAAAAAAAAAAAAAAAAAEAAAAZHJzL1BLAwQUAAAACACHTuJAzAj+eNsAAAAK&#10;AQAADwAAAGRycy9kb3ducmV2LnhtbE2PwU7DMAyG70i8Q2QkblvasY6uNN1hggsSSBQmjZvXhLZa&#10;43RNuo63x5zgZsuffn9/vrnYTpzN4FtHCuJ5BMJQ5XRLtYKP96dZCsIHJI2dI6Pg23jYFNdXOWba&#10;TfRmzmWoBYeQz1BBE0KfSemrxlj0c9cb4tuXGywGXoda6gEnDredXETRSlpsiT802JttY6pjOVoF&#10;6f0unT7x5bh9TMNp3Jen6Pl1pdTtTRw9gAjmEv5g+NVndSjY6eBG0l50ChZJEjOqYBavuRQT67sk&#10;AXHgYbkEWeTyf4XiB1BLAwQUAAAACACHTuJAW2k4lF4CAACMBAAADgAAAGRycy9lMm9Eb2MueG1s&#10;rVTNbhMxEL4j8Q6W73ST/kGjbKrQKgipopUK4ux4vdmVvB5jO9ktDwAvgLhw6oUDd05IvA0/fQs+&#10;e5MWCoceyMEZz4xn5vtmZseHXaPZSjlfk8n5cGvAmTKSitoscv7i+ezBI858EKYQmozK+YXy/HBy&#10;/964tSO1TRXpQjmGIMaPWpvzKgQ7yjIvK9UIv0VWGRhLco0IuLpFVjjRInqjs+3BYD9ryRXWkVTe&#10;Q3vcG/k6ortLQCrLWqpjkstGmdBHdUqLAEi+qq3nk1RtWSoZTsvSq8B0zoE0pBNJIM/jmU3GYrRw&#10;wla1XJcg7lLCLUyNqA2SXoc6FkGwpav/CtXU0pGnMmxJarIeSGIEKIaDW9ycV8KqhAVUe3tNuv9/&#10;YeWz1ZljdYFJ2OfMiAYdv/r4/ury88+3n368+/L98s23D193Ik+t9SO4n1s8CN1j6vBmo/dQRvhd&#10;6Zr4D2AMdrB8cc2y6gKTUO7ubA/2dmGSsD3ESBykNmQ3r63z4YmihkUh5w5dTOSK1YkPqASuG5eY&#10;zJOui1mtdbq4xfxIO7YS6Pgs/WKRePKHmzaszfn+zt4gRTYU3/d+2sA9gu1BRSl0827NwJyKCxDg&#10;qB8lb+WsRpUnwocz4TA7AIbtCqc4Sk1IQmuJs4rc63/poz9aCitnLWYx5/7VUjjFmX5q0GyEDBvB&#10;JeFguBsZnG+0ZtkcEQAPsbtWJhFmF/RGLB01L7F405gJJmEk8uU8bMSj0G8FFleq6TQ5YUStCCfm&#10;3MoYOtJraLoMVNapDZGano81YxjSRPV6oeIW/H5PXjcfkc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Aj+eNsAAAAKAQAADwAAAAAAAAABACAAAAAiAAAAZHJzL2Rvd25yZXYueG1sUEsBAhQAFAAA&#10;AAgAh07iQFtpOJReAgAAjAQAAA4AAAAAAAAAAQAgAAAAKg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5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 XXXX-2020</w:t>
                      </w:r>
                    </w:p>
                    <w:p>
                      <w:pPr>
                        <w:pStyle w:val="267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86"/>
        <w:bidi w:val="0"/>
        <w:jc w:val="center"/>
        <w:rPr>
          <w:rFonts w:hint="eastAsia"/>
          <w:lang w:eastAsia="zh-CN"/>
        </w:rPr>
      </w:pPr>
      <w:bookmarkStart w:id="1" w:name="标准目次"/>
      <w:bookmarkEnd w:id="1"/>
      <w:r>
        <w:rPr>
          <w:rFonts w:hint="eastAsia"/>
          <w:lang w:eastAsia="zh-CN"/>
        </w:rPr>
        <w:t>目    次</w:t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begin"/>
      </w:r>
      <w:r>
        <w:rPr>
          <w:rFonts w:hint="eastAsia" w:ascii="宋体" w:hAnsi="宋体" w:eastAsia="宋体" w:cs="宋体"/>
          <w:b w:val="0"/>
          <w:sz w:val="21"/>
          <w:lang w:eastAsia="zh-CN"/>
        </w:rPr>
        <w:instrText xml:space="preserve">TOC \o "1-7" \h \z</w:instrText>
      </w: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separate"/>
      </w: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_Toc10538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/>
          <w:lang w:eastAsia="zh-CN"/>
        </w:rPr>
        <w:t>前    言</w:t>
      </w:r>
      <w:r>
        <w:tab/>
      </w:r>
      <w:r>
        <w:fldChar w:fldCharType="begin"/>
      </w:r>
      <w:r>
        <w:instrText xml:space="preserve"> PAGEREF _Toc10538 \h </w:instrText>
      </w:r>
      <w:r>
        <w:fldChar w:fldCharType="separate"/>
      </w:r>
      <w:r>
        <w:t>II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_Toc18776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1 </w:t>
      </w:r>
      <w:r>
        <w:rPr>
          <w:rFonts w:hint="eastAsia"/>
        </w:rPr>
        <w:t>范围</w:t>
      </w:r>
      <w:r>
        <w:tab/>
      </w:r>
      <w:r>
        <w:fldChar w:fldCharType="begin"/>
      </w:r>
      <w:r>
        <w:instrText xml:space="preserve"> PAGEREF _Toc18776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_Toc31503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2 </w:t>
      </w:r>
      <w:r>
        <w:rPr>
          <w:rFonts w:hint="eastAsia"/>
        </w:rPr>
        <w:t>规范性引用文件</w:t>
      </w:r>
      <w:r>
        <w:tab/>
      </w:r>
      <w:r>
        <w:fldChar w:fldCharType="begin"/>
      </w:r>
      <w:r>
        <w:instrText xml:space="preserve"> PAGEREF _Toc31503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_Toc16145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3 </w:t>
      </w:r>
      <w:r>
        <w:rPr>
          <w:rFonts w:hint="eastAsia"/>
        </w:rPr>
        <w:t>术语</w:t>
      </w:r>
      <w:r>
        <w:t>和定义</w:t>
      </w:r>
      <w:r>
        <w:tab/>
      </w:r>
      <w:r>
        <w:fldChar w:fldCharType="begin"/>
      </w:r>
      <w:r>
        <w:instrText xml:space="preserve"> PAGEREF _Toc16145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_Toc30663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4 </w:t>
      </w:r>
      <w:r>
        <w:rPr>
          <w:rFonts w:hint="eastAsia"/>
          <w:szCs w:val="22"/>
        </w:rPr>
        <w:t>播前准备</w:t>
      </w:r>
      <w:r>
        <w:tab/>
      </w:r>
      <w:r>
        <w:fldChar w:fldCharType="begin"/>
      </w:r>
      <w:r>
        <w:instrText xml:space="preserve"> PAGEREF _Toc30663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_Toc20191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5 </w:t>
      </w:r>
      <w:r>
        <w:rPr>
          <w:rFonts w:hint="eastAsia"/>
          <w:szCs w:val="22"/>
        </w:rPr>
        <w:t>播种</w:t>
      </w:r>
      <w:r>
        <w:tab/>
      </w:r>
      <w:r>
        <w:fldChar w:fldCharType="begin"/>
      </w:r>
      <w:r>
        <w:instrText xml:space="preserve"> PAGEREF _Toc20191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_Toc22430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6 </w:t>
      </w:r>
      <w:r>
        <w:rPr>
          <w:rFonts w:hint="eastAsia"/>
          <w:szCs w:val="22"/>
        </w:rPr>
        <w:t>田间管理</w:t>
      </w:r>
      <w:r>
        <w:tab/>
      </w:r>
      <w:r>
        <w:fldChar w:fldCharType="begin"/>
      </w:r>
      <w:r>
        <w:instrText xml:space="preserve"> PAGEREF _Toc22430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_Toc7741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7 </w:t>
      </w:r>
      <w:r>
        <w:rPr>
          <w:rFonts w:hint="eastAsia"/>
          <w:szCs w:val="22"/>
        </w:rPr>
        <w:t>机械收获</w:t>
      </w:r>
      <w:r>
        <w:tab/>
      </w:r>
      <w:r>
        <w:fldChar w:fldCharType="begin"/>
      </w:r>
      <w:r>
        <w:instrText xml:space="preserve"> PAGEREF _Toc7741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_Toc18166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8 </w:t>
      </w:r>
      <w:r>
        <w:rPr>
          <w:rFonts w:hint="eastAsia"/>
          <w:lang w:val="en-US" w:eastAsia="zh-CN"/>
        </w:rPr>
        <w:t>产量指标</w:t>
      </w:r>
      <w:r>
        <w:tab/>
      </w:r>
      <w:r>
        <w:fldChar w:fldCharType="begin"/>
      </w:r>
      <w:r>
        <w:instrText xml:space="preserve"> PAGEREF _Toc18166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_Toc14715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9 </w:t>
      </w:r>
      <w:r>
        <w:rPr>
          <w:rFonts w:hint="eastAsia"/>
          <w:lang w:val="en-US" w:eastAsia="zh-CN"/>
        </w:rPr>
        <w:t>质量要求</w:t>
      </w:r>
      <w:r>
        <w:tab/>
      </w:r>
      <w:r>
        <w:fldChar w:fldCharType="begin"/>
      </w:r>
      <w:r>
        <w:instrText xml:space="preserve"> PAGEREF _Toc14715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_Toc13458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pacing w:val="0"/>
          <w:w w:val="100"/>
        </w:rPr>
        <w:t xml:space="preserve">附　录　A </w:t>
      </w:r>
      <w:r>
        <w:t xml:space="preserve"> </w:t>
      </w:r>
      <w:r>
        <w:rPr>
          <w:rFonts w:hint="eastAsia"/>
          <w:lang w:eastAsia="zh-CN"/>
        </w:rPr>
        <w:t>（资料性附录） 常用叶面肥及使用方法</w:t>
      </w:r>
      <w:r>
        <w:tab/>
      </w:r>
      <w:r>
        <w:fldChar w:fldCharType="begin"/>
      </w:r>
      <w:r>
        <w:instrText xml:space="preserve"> PAGEREF _Toc13458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</w:p>
    <w:p>
      <w:pPr>
        <w:pStyle w:val="258"/>
        <w:rPr>
          <w:rFonts w:hint="eastAsia" w:ascii="宋体" w:hAnsi="宋体" w:eastAsia="宋体" w:cs="宋体"/>
          <w:b w:val="0"/>
          <w:sz w:val="2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6"/>
        <w:bidi w:val="0"/>
        <w:rPr>
          <w:rFonts w:hint="eastAsia"/>
          <w:lang w:eastAsia="zh-CN"/>
        </w:rPr>
        <w:sectPr>
          <w:headerReference r:id="rId10" w:type="first"/>
          <w:footerReference r:id="rId12" w:type="first"/>
          <w:headerReference r:id="rId9" w:type="default"/>
          <w:footerReference r:id="rId11" w:type="default"/>
          <w:pgSz w:w="11907" w:h="16839"/>
          <w:pgMar w:top="1418" w:right="1134" w:bottom="1134" w:left="1418" w:header="1418" w:footer="1134" w:gutter="0"/>
          <w:lnNumType w:countBy="0" w:restart="continuous"/>
          <w:pgNumType w:fmt="upperRoman" w:start="1"/>
          <w:cols w:space="425" w:num="1"/>
          <w:rtlGutter w:val="0"/>
          <w:docGrid w:linePitch="312" w:charSpace="0"/>
        </w:sectPr>
      </w:pPr>
      <w:bookmarkStart w:id="2" w:name="_Toc6528"/>
    </w:p>
    <w:p>
      <w:pPr>
        <w:pStyle w:val="256"/>
        <w:bidi w:val="0"/>
        <w:rPr>
          <w:rFonts w:hint="eastAsia"/>
          <w:lang w:eastAsia="zh-CN"/>
        </w:rPr>
      </w:pPr>
      <w:bookmarkStart w:id="3" w:name="标准前言"/>
      <w:bookmarkEnd w:id="3"/>
      <w:bookmarkStart w:id="4" w:name="_Toc10538"/>
      <w:r>
        <w:rPr>
          <w:rFonts w:hint="eastAsia"/>
          <w:lang w:eastAsia="zh-CN"/>
        </w:rPr>
        <w:t>前    言</w:t>
      </w:r>
      <w:bookmarkEnd w:id="2"/>
      <w:bookmarkEnd w:id="4"/>
    </w:p>
    <w:p>
      <w:pPr>
        <w:pStyle w:val="258"/>
        <w:tabs>
          <w:tab w:val="center" w:pos="4201"/>
          <w:tab w:val="right" w:leader="dot" w:pos="9298"/>
        </w:tabs>
        <w:rPr>
          <w:rFonts w:hint="eastAsia"/>
        </w:rPr>
      </w:pPr>
      <w:r>
        <w:rPr>
          <w:rFonts w:hint="eastAsia"/>
          <w:lang w:eastAsia="zh-CN"/>
        </w:rPr>
        <w:t>本文件依据</w:t>
      </w:r>
      <w:r>
        <w:t>GB/T</w:t>
      </w:r>
      <w:r>
        <w:rPr>
          <w:rFonts w:hint="eastAsia"/>
        </w:rPr>
        <w:t xml:space="preserve"> </w:t>
      </w:r>
      <w:r>
        <w:t>1.1-20</w:t>
      </w:r>
      <w:r>
        <w:rPr>
          <w:rFonts w:hint="eastAsia"/>
          <w:lang w:val="en-US" w:eastAsia="zh-CN"/>
        </w:rPr>
        <w:t>20《标准化工作导则 第1部分：标准化文件的结构和起草规则》</w:t>
      </w:r>
      <w:r>
        <w:rPr>
          <w:rFonts w:hint="eastAsia"/>
        </w:rPr>
        <w:t>的</w:t>
      </w:r>
      <w:r>
        <w:rPr>
          <w:rFonts w:hint="eastAsia"/>
          <w:lang w:eastAsia="zh-CN"/>
        </w:rPr>
        <w:t>规定起草</w:t>
      </w:r>
      <w:r>
        <w:rPr>
          <w:rFonts w:hint="eastAsia"/>
        </w:rPr>
        <w:t>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本文件由青海省农学会归口。</w:t>
      </w:r>
    </w:p>
    <w:p>
      <w:pPr>
        <w:ind w:firstLine="420" w:firstLineChars="200"/>
        <w:rPr>
          <w:rFonts w:hint="eastAsia" w:hAnsi="Times New Roman" w:cs="Times New Roman"/>
          <w:szCs w:val="22"/>
          <w:lang w:val="en-US" w:eastAsia="zh-CN"/>
        </w:rPr>
      </w:pPr>
      <w:r>
        <w:rPr>
          <w:rFonts w:hint="eastAsia" w:hAnsi="Times New Roman" w:cs="Times New Roman"/>
          <w:szCs w:val="22"/>
          <w:lang w:val="en-US" w:eastAsia="zh-CN"/>
        </w:rPr>
        <w:t>本文件起草单位:青海互丰农业科技集团有限公司、</w:t>
      </w:r>
      <w:r>
        <w:rPr>
          <w:rFonts w:hint="eastAsia" w:cs="Times New Roman"/>
          <w:szCs w:val="22"/>
          <w:lang w:val="en-US" w:eastAsia="zh-CN"/>
        </w:rPr>
        <w:t>青海省农作物种子站、互助县农业技术推广中心、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互助县国家高原特色现代农业示范园区。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 w:ascii="Times New Roman" w:hAnsi="Times New Roman" w:eastAsia="宋体" w:cs="Times New Roman"/>
          <w:color w:val="333333"/>
          <w:kern w:val="0"/>
          <w:sz w:val="21"/>
          <w:szCs w:val="21"/>
          <w:lang w:val="en-US" w:eastAsia="zh-CN"/>
        </w:rPr>
      </w:pPr>
      <w:r>
        <w:rPr>
          <w:rFonts w:hint="eastAsia" w:hAnsi="Times New Roman" w:cs="Times New Roman"/>
          <w:szCs w:val="22"/>
          <w:lang w:val="en-US" w:eastAsia="zh-CN"/>
        </w:rPr>
        <w:t>本文件</w:t>
      </w:r>
      <w:r>
        <w:rPr>
          <w:rFonts w:hint="eastAsia" w:hAnsi="Times New Roman" w:cs="Times New Roman"/>
          <w:szCs w:val="22"/>
          <w:lang w:eastAsia="zh-CN"/>
        </w:rPr>
        <w:t>主要起草人：</w:t>
      </w:r>
      <w:r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w:t>蔡有华、</w:t>
      </w:r>
      <w:r>
        <w:rPr>
          <w:rFonts w:hint="eastAsia" w:hAnsi="Times New Roman" w:cs="Times New Roman"/>
          <w:szCs w:val="22"/>
          <w:lang w:val="en-US" w:eastAsia="zh-CN"/>
        </w:rPr>
        <w:t>胡生</w:t>
      </w:r>
      <w:r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w:t>隆、贺子腾、韩文婷、贺连珍、李长满、严文善、贺生平、哈学才、李俊仁、王宗昌、郭守伟、</w:t>
      </w:r>
      <w:r>
        <w:rPr>
          <w:rFonts w:hint="eastAsia" w:ascii="Times New Roman" w:cs="Times New Roman"/>
          <w:kern w:val="2"/>
          <w:sz w:val="21"/>
          <w:szCs w:val="22"/>
          <w:lang w:val="en-US" w:eastAsia="zh-CN" w:bidi="ar-SA"/>
        </w:rPr>
        <w:t>席田花、</w:t>
      </w:r>
      <w:r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w:t>温玉存、</w:t>
      </w:r>
      <w:r>
        <w:rPr>
          <w:rFonts w:hint="eastAsia" w:ascii="Times New Roman" w:cs="Times New Roman"/>
          <w:kern w:val="2"/>
          <w:sz w:val="21"/>
          <w:szCs w:val="22"/>
          <w:lang w:val="en-US" w:eastAsia="zh-CN" w:bidi="ar-SA"/>
        </w:rPr>
        <w:t>赵厚祯、</w:t>
      </w:r>
      <w:r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w:t>柳雄、贺生彪、张印臣</w:t>
      </w:r>
      <w:r>
        <w:rPr>
          <w:rFonts w:hint="eastAsia" w:hAnsi="Times New Roman" w:cs="Times New Roman"/>
          <w:szCs w:val="22"/>
          <w:lang w:val="en-US" w:eastAsia="zh-CN"/>
        </w:rPr>
        <w:t>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本文件由青海省农学会实施。</w:t>
      </w:r>
    </w:p>
    <w:p>
      <w:pPr>
        <w:pStyle w:val="258"/>
        <w:bidi w:val="0"/>
        <w:rPr>
          <w:rFonts w:hint="eastAsia"/>
          <w:lang w:eastAsia="zh-CN"/>
        </w:rPr>
      </w:pPr>
    </w:p>
    <w:p>
      <w:pPr>
        <w:pStyle w:val="258"/>
        <w:bidi w:val="0"/>
        <w:rPr>
          <w:rFonts w:hint="eastAsia"/>
          <w:lang w:eastAsia="zh-CN"/>
        </w:rPr>
        <w:sectPr>
          <w:pgSz w:w="11907" w:h="16839"/>
          <w:pgMar w:top="1418" w:right="1134" w:bottom="1134" w:left="1418" w:header="1418" w:footer="1134" w:gutter="0"/>
          <w:lnNumType w:countBy="0" w:restart="continuous"/>
          <w:pgNumType w:fmt="upperRoman"/>
          <w:cols w:space="425" w:num="1"/>
          <w:rtlGutter w:val="0"/>
          <w:docGrid w:linePitch="312" w:charSpace="0"/>
        </w:sectPr>
      </w:pPr>
    </w:p>
    <w:p>
      <w:pPr>
        <w:pStyle w:val="316"/>
        <w:bidi w:val="0"/>
        <w:rPr>
          <w:rFonts w:hint="eastAsia"/>
          <w:lang w:eastAsia="zh-CN"/>
        </w:rPr>
      </w:pPr>
      <w:bookmarkStart w:id="5" w:name="标准内容"/>
      <w:bookmarkEnd w:id="5"/>
      <w:r>
        <w:rPr>
          <w:rFonts w:hint="eastAsia"/>
          <w:lang w:eastAsia="zh-CN"/>
        </w:rPr>
        <w:t>杂交油菜机械化良种繁育技术规程</w:t>
      </w:r>
    </w:p>
    <w:p>
      <w:pPr>
        <w:pStyle w:val="259"/>
        <w:numPr>
          <w:ilvl w:val="0"/>
          <w:numId w:val="11"/>
        </w:numPr>
      </w:pPr>
      <w:bookmarkStart w:id="6" w:name="_Toc15073"/>
      <w:bookmarkStart w:id="7" w:name="_Toc18776"/>
      <w:r>
        <w:rPr>
          <w:rFonts w:hint="eastAsia"/>
        </w:rPr>
        <w:t>范围</w:t>
      </w:r>
      <w:bookmarkEnd w:id="6"/>
      <w:bookmarkEnd w:id="7"/>
    </w:p>
    <w:p>
      <w:pPr>
        <w:pStyle w:val="258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规定了</w:t>
      </w:r>
      <w:r>
        <w:rPr>
          <w:rFonts w:hint="eastAsia"/>
          <w:lang w:eastAsia="zh-CN"/>
        </w:rPr>
        <w:t>杂交</w:t>
      </w:r>
      <w:r>
        <w:rPr>
          <w:rFonts w:hint="eastAsia"/>
        </w:rPr>
        <w:t>油菜</w:t>
      </w:r>
      <w:r>
        <w:rPr>
          <w:rFonts w:hint="eastAsia"/>
          <w:lang w:eastAsia="zh-CN"/>
        </w:rPr>
        <w:t>机械化</w:t>
      </w:r>
      <w:r>
        <w:rPr>
          <w:rFonts w:hint="eastAsia"/>
        </w:rPr>
        <w:t>作业中的术语和定义、播前准备、播种、田间管理、机械收获等环节的</w:t>
      </w:r>
      <w:r>
        <w:rPr>
          <w:rFonts w:hint="eastAsia"/>
          <w:lang w:eastAsia="zh-CN"/>
        </w:rPr>
        <w:t>机械化</w:t>
      </w:r>
      <w:r>
        <w:rPr>
          <w:rFonts w:hint="eastAsia"/>
        </w:rPr>
        <w:t>生产</w:t>
      </w:r>
      <w:r>
        <w:rPr>
          <w:rFonts w:hint="eastAsia"/>
          <w:lang w:eastAsia="zh-CN"/>
        </w:rPr>
        <w:t>的</w:t>
      </w:r>
      <w:r>
        <w:rPr>
          <w:rFonts w:hint="eastAsia"/>
        </w:rPr>
        <w:t>技术要求。</w:t>
      </w:r>
    </w:p>
    <w:p>
      <w:pPr>
        <w:pStyle w:val="258"/>
        <w:ind w:firstLine="420"/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适用于</w:t>
      </w:r>
      <w:r>
        <w:rPr>
          <w:rFonts w:hint="eastAsia"/>
          <w:lang w:eastAsia="zh-CN"/>
        </w:rPr>
        <w:t>杂交</w:t>
      </w:r>
      <w:r>
        <w:rPr>
          <w:rFonts w:hint="eastAsia"/>
        </w:rPr>
        <w:t>油菜</w:t>
      </w:r>
      <w:r>
        <w:rPr>
          <w:rFonts w:hint="eastAsia"/>
          <w:lang w:eastAsia="zh-CN"/>
        </w:rPr>
        <w:t>机械化良种繁育</w:t>
      </w:r>
      <w:r>
        <w:rPr>
          <w:rFonts w:hint="eastAsia"/>
        </w:rPr>
        <w:t>。</w:t>
      </w:r>
    </w:p>
    <w:p>
      <w:pPr>
        <w:pStyle w:val="259"/>
        <w:numPr>
          <w:ilvl w:val="0"/>
          <w:numId w:val="11"/>
        </w:numPr>
      </w:pPr>
      <w:bookmarkStart w:id="8" w:name="_Toc8479"/>
      <w:bookmarkStart w:id="9" w:name="_Toc31503"/>
      <w:r>
        <w:rPr>
          <w:rFonts w:hint="eastAsia"/>
        </w:rPr>
        <w:t>规范性引用文件</w:t>
      </w:r>
      <w:bookmarkEnd w:id="8"/>
      <w:bookmarkEnd w:id="9"/>
    </w:p>
    <w:p>
      <w:pPr>
        <w:pStyle w:val="258"/>
        <w:ind w:firstLine="420"/>
        <w:rPr>
          <w:rFonts w:hint="eastAsia"/>
        </w:rPr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GB/T 3543.2  农作物种子检验规程  扦样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GB/T 3543.3  农作物种子检验规程  净度分析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GB/T 3543.4  农作物种子检验规程  发芽试验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GB/T 3543.5  农作物种子检验规程  真实性和品种纯度鉴定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GB/T 3543.6  农作物种子检验规程  水分测定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GB/T 3543.7  农作物种子检验规程  其他项目检验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fldChar w:fldCharType="begin"/>
      </w:r>
      <w:r>
        <w:rPr>
          <w:rFonts w:hint="eastAsia"/>
          <w:szCs w:val="22"/>
        </w:rPr>
        <w:instrText xml:space="preserve"> HYPERLINK "https://www.so.com/link?m=ajNnYY6U5aazK/997sT0fFKpmhpRpF1OOhI1UWN8mN4GarEL42yEWI2CV4tZK82aufNS7JCAvKtu7eWKTugwqMmucQjSNgnXZ1mDUsDSciHvLzGnhe/Pa1gnlAR6amn7bRK4xB6iKBYxJRaEJXqWFQw==" \t "https://www.so.com/_blank" </w:instrText>
      </w:r>
      <w:r>
        <w:rPr>
          <w:rFonts w:hint="eastAsia"/>
          <w:szCs w:val="22"/>
        </w:rPr>
        <w:fldChar w:fldCharType="separate"/>
      </w:r>
      <w:r>
        <w:rPr>
          <w:rFonts w:hint="eastAsia"/>
          <w:szCs w:val="22"/>
        </w:rPr>
        <w:t>GB4407.2</w:t>
      </w:r>
      <w:r>
        <w:rPr>
          <w:rFonts w:hint="eastAsia"/>
          <w:szCs w:val="22"/>
          <w:lang w:val="en-US" w:eastAsia="zh-CN"/>
        </w:rPr>
        <w:t xml:space="preserve">  </w:t>
      </w:r>
      <w:r>
        <w:rPr>
          <w:rFonts w:hint="eastAsia"/>
          <w:szCs w:val="22"/>
        </w:rPr>
        <w:t>经济作物种子第2部分:油料类</w:t>
      </w:r>
      <w:r>
        <w:rPr>
          <w:rFonts w:hint="eastAsia"/>
          <w:szCs w:val="22"/>
        </w:rPr>
        <w:fldChar w:fldCharType="end"/>
      </w:r>
    </w:p>
    <w:p>
      <w:pPr>
        <w:pStyle w:val="258"/>
        <w:ind w:firstLine="420"/>
        <w:rPr>
          <w:rFonts w:hint="eastAsia"/>
        </w:rPr>
      </w:pPr>
      <w:r>
        <w:rPr>
          <w:rFonts w:hint="eastAsia"/>
          <w:szCs w:val="22"/>
          <w:lang w:eastAsia="zh-CN"/>
        </w:rPr>
        <w:t>NY/T 1276</w:t>
      </w:r>
      <w:r>
        <w:rPr>
          <w:rFonts w:hint="eastAsia"/>
          <w:szCs w:val="22"/>
          <w:lang w:val="en-US" w:eastAsia="zh-CN"/>
        </w:rPr>
        <w:t xml:space="preserve"> </w:t>
      </w:r>
      <w:r>
        <w:rPr>
          <w:rFonts w:hint="eastAsia"/>
          <w:szCs w:val="22"/>
        </w:rPr>
        <w:t>农药安全使用规范总则</w:t>
      </w:r>
    </w:p>
    <w:p>
      <w:pPr>
        <w:pStyle w:val="259"/>
        <w:numPr>
          <w:ilvl w:val="0"/>
          <w:numId w:val="11"/>
        </w:numPr>
      </w:pPr>
      <w:bookmarkStart w:id="10" w:name="_Toc16145"/>
      <w:bookmarkStart w:id="11" w:name="_Toc22001"/>
      <w:r>
        <w:rPr>
          <w:rFonts w:hint="eastAsia"/>
        </w:rPr>
        <w:t>术语</w:t>
      </w:r>
      <w:r>
        <w:t>和定义</w:t>
      </w:r>
      <w:bookmarkEnd w:id="10"/>
      <w:bookmarkEnd w:id="11"/>
    </w:p>
    <w:p>
      <w:pPr>
        <w:pStyle w:val="258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下列术语和定义适用于本文件。</w:t>
      </w:r>
    </w:p>
    <w:p>
      <w:pPr>
        <w:pStyle w:val="324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br w:type="textWrapping"/>
      </w:r>
      <w:r>
        <w:rPr>
          <w:rFonts w:hint="eastAsia"/>
          <w:lang w:val="en-US" w:eastAsia="zh-CN"/>
        </w:rPr>
        <w:t xml:space="preserve">    杂交油菜</w:t>
      </w:r>
    </w:p>
    <w:p>
      <w:pPr>
        <w:pStyle w:val="258"/>
        <w:bidi w:val="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利用两个不同的油菜品种或品系配制的第一代杂交种。</w:t>
      </w:r>
    </w:p>
    <w:p>
      <w:pPr>
        <w:pStyle w:val="324"/>
        <w:bidi w:val="0"/>
        <w:rPr>
          <w:rFonts w:hint="eastAsia"/>
          <w:lang w:eastAsia="zh-CN"/>
        </w:rPr>
      </w:pPr>
      <w:bookmarkStart w:id="71" w:name="_GoBack"/>
      <w:bookmarkEnd w:id="71"/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  制种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恢复系、不育系杂交产生的第一代种子。</w:t>
      </w:r>
    </w:p>
    <w:p>
      <w:pPr>
        <w:pStyle w:val="324"/>
        <w:bidi w:val="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 xml:space="preserve">    早熟种</w:t>
      </w:r>
    </w:p>
    <w:p>
      <w:pPr>
        <w:pStyle w:val="258"/>
        <w:bidi w:val="0"/>
        <w:ind w:left="0" w:leftChars="0" w:firstLine="0" w:firstLineChars="0"/>
        <w:rPr>
          <w:rFonts w:hint="default"/>
          <w:color w:val="auto"/>
          <w:szCs w:val="22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/>
          <w:color w:val="auto"/>
          <w:szCs w:val="22"/>
          <w:lang w:val="en-US" w:eastAsia="zh-CN"/>
        </w:rPr>
        <w:t xml:space="preserve">  播种到收获全生育期不超过120天的品种。</w:t>
      </w:r>
    </w:p>
    <w:p>
      <w:pPr>
        <w:pStyle w:val="324"/>
        <w:bidi w:val="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 xml:space="preserve">    中晚熟种</w:t>
      </w:r>
    </w:p>
    <w:p>
      <w:pPr>
        <w:pStyle w:val="258"/>
        <w:bidi w:val="0"/>
        <w:ind w:left="0" w:leftChars="0" w:firstLine="420" w:firstLineChars="20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szCs w:val="22"/>
          <w:lang w:val="en-US" w:eastAsia="zh-CN"/>
        </w:rPr>
        <w:t>播种到收获全生育期超过120天的品种。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</w:rPr>
      </w:pPr>
      <w:bookmarkStart w:id="12" w:name="_Toc30663"/>
      <w:bookmarkStart w:id="13" w:name="_Toc23961"/>
      <w:bookmarkStart w:id="14" w:name="_Toc3334"/>
      <w:bookmarkStart w:id="15" w:name="_Toc27853"/>
      <w:r>
        <w:rPr>
          <w:rFonts w:hint="eastAsia"/>
          <w:szCs w:val="22"/>
        </w:rPr>
        <w:t>播前准备</w:t>
      </w:r>
      <w:bookmarkEnd w:id="12"/>
      <w:bookmarkEnd w:id="13"/>
      <w:bookmarkEnd w:id="14"/>
      <w:bookmarkEnd w:id="15"/>
    </w:p>
    <w:p>
      <w:pPr>
        <w:pStyle w:val="260"/>
        <w:bidi w:val="0"/>
        <w:rPr>
          <w:rFonts w:hint="eastAsia"/>
          <w:lang w:val="en-US" w:eastAsia="zh-CN"/>
        </w:rPr>
      </w:pPr>
      <w:bookmarkStart w:id="16" w:name="_Toc9930"/>
      <w:bookmarkStart w:id="17" w:name="_Toc1140"/>
      <w:r>
        <w:rPr>
          <w:rFonts w:hint="eastAsia"/>
          <w:lang w:val="en-US" w:eastAsia="zh-CN"/>
        </w:rPr>
        <w:t>选地</w:t>
      </w:r>
      <w:bookmarkEnd w:id="16"/>
      <w:bookmarkEnd w:id="17"/>
    </w:p>
    <w:p>
      <w:pPr>
        <w:pStyle w:val="258"/>
        <w:ind w:firstLine="420"/>
        <w:rPr>
          <w:rFonts w:hint="default"/>
          <w:szCs w:val="22"/>
          <w:lang w:val="en-US" w:eastAsia="zh-CN"/>
        </w:rPr>
      </w:pPr>
      <w:r>
        <w:rPr>
          <w:rFonts w:hint="default"/>
          <w:szCs w:val="22"/>
          <w:lang w:val="en-US" w:eastAsia="zh-CN"/>
        </w:rPr>
        <w:t>杂交油菜制种基地需具备良好的隔离、灌溉、交通便利等条件，并且集中连片，便于机械化作业</w:t>
      </w:r>
      <w:r>
        <w:rPr>
          <w:rFonts w:hint="eastAsia"/>
          <w:szCs w:val="22"/>
          <w:lang w:val="en-US" w:eastAsia="zh-CN"/>
        </w:rPr>
        <w:t>。基地周围无天然屏障时应设1500m的隔离带，前茬为非十字花科作物。</w:t>
      </w:r>
    </w:p>
    <w:p>
      <w:pPr>
        <w:pStyle w:val="260"/>
        <w:bidi w:val="0"/>
        <w:rPr>
          <w:rFonts w:hint="eastAsia"/>
          <w:szCs w:val="22"/>
          <w:lang w:val="en-US" w:eastAsia="zh-CN"/>
        </w:rPr>
      </w:pPr>
      <w:bookmarkStart w:id="18" w:name="_Toc7913"/>
      <w:bookmarkStart w:id="19" w:name="_Toc29754"/>
      <w:r>
        <w:rPr>
          <w:rFonts w:hint="eastAsia"/>
          <w:szCs w:val="22"/>
          <w:lang w:val="en-US" w:eastAsia="zh-CN"/>
        </w:rPr>
        <w:t>选种</w:t>
      </w:r>
      <w:bookmarkEnd w:id="18"/>
      <w:bookmarkEnd w:id="19"/>
      <w:r>
        <w:rPr>
          <w:rFonts w:hint="eastAsia"/>
          <w:szCs w:val="22"/>
          <w:lang w:val="en-US" w:eastAsia="zh-CN"/>
        </w:rPr>
        <w:tab/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应选用适合当地生态条件，具高产、优质、</w:t>
      </w:r>
      <w:r>
        <w:rPr>
          <w:rFonts w:hint="eastAsia"/>
          <w:szCs w:val="22"/>
          <w:lang w:val="en-US" w:eastAsia="zh-CN"/>
        </w:rPr>
        <w:t>抗逆</w:t>
      </w:r>
      <w:r>
        <w:rPr>
          <w:rFonts w:hint="eastAsia"/>
          <w:szCs w:val="22"/>
        </w:rPr>
        <w:t>、</w:t>
      </w:r>
      <w:r>
        <w:rPr>
          <w:rFonts w:hint="eastAsia"/>
          <w:szCs w:val="22"/>
          <w:lang w:val="en-US" w:eastAsia="zh-CN"/>
        </w:rPr>
        <w:t>适于机械化作物，花期</w:t>
      </w:r>
      <w:r>
        <w:rPr>
          <w:rFonts w:hint="eastAsia"/>
          <w:szCs w:val="22"/>
        </w:rPr>
        <w:t>基本一致的</w:t>
      </w:r>
      <w:r>
        <w:rPr>
          <w:rFonts w:hint="eastAsia"/>
          <w:szCs w:val="22"/>
          <w:lang w:val="en-US" w:eastAsia="zh-CN"/>
        </w:rPr>
        <w:t>父母本</w:t>
      </w:r>
      <w:r>
        <w:rPr>
          <w:rFonts w:hint="eastAsia"/>
          <w:szCs w:val="22"/>
        </w:rPr>
        <w:t>。</w:t>
      </w:r>
    </w:p>
    <w:p>
      <w:pPr>
        <w:pStyle w:val="260"/>
        <w:bidi w:val="0"/>
        <w:rPr>
          <w:rFonts w:hint="default"/>
          <w:lang w:val="en-US" w:eastAsia="zh-CN"/>
        </w:rPr>
      </w:pPr>
      <w:bookmarkStart w:id="20" w:name="_Toc22950"/>
      <w:bookmarkStart w:id="21" w:name="_Toc24165"/>
      <w:r>
        <w:rPr>
          <w:rFonts w:hint="eastAsia"/>
          <w:lang w:val="en-US" w:eastAsia="zh-CN"/>
        </w:rPr>
        <w:t>种子包衣</w:t>
      </w:r>
      <w:bookmarkEnd w:id="20"/>
      <w:bookmarkEnd w:id="21"/>
    </w:p>
    <w:p>
      <w:pPr>
        <w:pStyle w:val="258"/>
        <w:ind w:firstLine="42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分别对父母本种子进行清选、晾晒，净度达98%以上，对亲本种子采用高效低毒低残留种衣剂进行包衣。种衣剂应符合</w:t>
      </w:r>
      <w:r>
        <w:rPr>
          <w:rFonts w:hint="eastAsia"/>
          <w:szCs w:val="22"/>
          <w:lang w:eastAsia="zh-CN"/>
        </w:rPr>
        <w:t>NY/T 1276的规定。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</w:rPr>
      </w:pPr>
      <w:bookmarkStart w:id="22" w:name="_Toc6748"/>
      <w:bookmarkStart w:id="23" w:name="_Toc17271"/>
      <w:bookmarkStart w:id="24" w:name="_Toc20191"/>
      <w:bookmarkStart w:id="25" w:name="_Toc9617"/>
      <w:r>
        <w:rPr>
          <w:rFonts w:hint="eastAsia"/>
          <w:szCs w:val="22"/>
        </w:rPr>
        <w:t>播种</w:t>
      </w:r>
      <w:bookmarkEnd w:id="22"/>
      <w:bookmarkEnd w:id="23"/>
      <w:bookmarkEnd w:id="24"/>
      <w:bookmarkEnd w:id="25"/>
    </w:p>
    <w:p>
      <w:pPr>
        <w:pStyle w:val="260"/>
        <w:bidi w:val="0"/>
        <w:rPr>
          <w:rFonts w:hint="default"/>
          <w:color w:val="auto"/>
          <w:lang w:val="en-US" w:eastAsia="zh-CN"/>
        </w:rPr>
      </w:pPr>
      <w:bookmarkStart w:id="26" w:name="_Toc23839"/>
      <w:bookmarkStart w:id="27" w:name="_Toc16956"/>
      <w:r>
        <w:rPr>
          <w:rFonts w:hint="eastAsia"/>
          <w:color w:val="auto"/>
          <w:lang w:val="en-US" w:eastAsia="zh-CN"/>
        </w:rPr>
        <w:t>播期</w:t>
      </w:r>
      <w:bookmarkEnd w:id="26"/>
      <w:bookmarkEnd w:id="27"/>
    </w:p>
    <w:p>
      <w:pPr>
        <w:pStyle w:val="327"/>
        <w:bidi w:val="0"/>
        <w:rPr>
          <w:rFonts w:hint="eastAsia" w:ascii="宋体" w:hAnsi="Times New Roman" w:eastAsia="宋体" w:cs="Times New Roman"/>
          <w:sz w:val="21"/>
          <w:lang w:val="en-US" w:eastAsia="zh-CN" w:bidi="ar-SA"/>
        </w:rPr>
      </w:pPr>
      <w:bookmarkStart w:id="28" w:name="_Toc30071"/>
      <w:r>
        <w:rPr>
          <w:rFonts w:hint="eastAsia"/>
          <w:lang w:val="en-US" w:eastAsia="zh-CN"/>
        </w:rPr>
        <w:t>海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拔</w:t>
      </w:r>
      <w:r>
        <w:rPr>
          <w:rFonts w:hint="eastAsia" w:ascii="宋体" w:eastAsia="宋体" w:cs="Times New Roman"/>
          <w:sz w:val="21"/>
          <w:lang w:val="en-US" w:eastAsia="zh-CN" w:bidi="ar-SA"/>
        </w:rPr>
        <w:t>低于2600m的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地区</w:t>
      </w:r>
      <w:r>
        <w:rPr>
          <w:rFonts w:hint="eastAsia" w:ascii="宋体" w:eastAsia="宋体" w:cs="Times New Roman"/>
          <w:sz w:val="21"/>
          <w:lang w:val="en-US" w:eastAsia="zh-CN" w:bidi="ar-SA"/>
        </w:rPr>
        <w:t>，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中晚熟品种在</w:t>
      </w:r>
      <w:r>
        <w:rPr>
          <w:rFonts w:hint="eastAsia" w:ascii="宋体" w:eastAsia="宋体" w:cs="Times New Roman"/>
          <w:sz w:val="21"/>
          <w:lang w:val="en-US" w:eastAsia="zh-CN" w:bidi="ar-SA"/>
        </w:rPr>
        <w:t>4月上中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旬播种为宜。</w:t>
      </w:r>
    </w:p>
    <w:p>
      <w:pPr>
        <w:pStyle w:val="327"/>
        <w:bidi w:val="0"/>
        <w:rPr>
          <w:rFonts w:hint="eastAsia"/>
          <w:lang w:val="en-US" w:eastAsia="zh-CN"/>
        </w:rPr>
      </w:pP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海拔</w:t>
      </w:r>
      <w:r>
        <w:rPr>
          <w:rFonts w:hint="eastAsia" w:ascii="宋体" w:eastAsia="宋体" w:cs="Times New Roman"/>
          <w:sz w:val="21"/>
          <w:lang w:val="en-US" w:eastAsia="zh-CN" w:bidi="ar-SA"/>
        </w:rPr>
        <w:t>高于2600m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地区</w:t>
      </w:r>
      <w:r>
        <w:rPr>
          <w:rFonts w:hint="eastAsia" w:ascii="宋体" w:eastAsia="宋体" w:cs="Times New Roman"/>
          <w:sz w:val="21"/>
          <w:lang w:val="en-US" w:eastAsia="zh-CN" w:bidi="ar-SA"/>
        </w:rPr>
        <w:t>，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早熟品种在4月下旬播种为宜</w:t>
      </w:r>
      <w:r>
        <w:rPr>
          <w:rFonts w:hint="eastAsia"/>
          <w:lang w:val="en-US" w:eastAsia="zh-CN"/>
        </w:rPr>
        <w:t>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错期播种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</w:rPr>
        <w:t>如父母本花期在7天内相遇，则父母本同期播种，否则采用错期播种。</w:t>
      </w:r>
      <w:r>
        <w:rPr>
          <w:rFonts w:hint="eastAsia"/>
          <w:lang w:val="en-US" w:eastAsia="zh-CN"/>
        </w:rPr>
        <w:t xml:space="preserve"> </w:t>
      </w:r>
    </w:p>
    <w:p>
      <w:pPr>
        <w:pStyle w:val="260"/>
        <w:bidi w:val="0"/>
        <w:rPr>
          <w:rFonts w:hint="default"/>
          <w:lang w:val="en-US" w:eastAsia="zh-CN"/>
        </w:rPr>
      </w:pPr>
      <w:bookmarkStart w:id="29" w:name="_Toc5567"/>
      <w:r>
        <w:rPr>
          <w:rFonts w:hint="eastAsia"/>
          <w:lang w:val="en-US" w:eastAsia="zh-CN"/>
        </w:rPr>
        <w:t>播种方式</w:t>
      </w:r>
      <w:bookmarkEnd w:id="28"/>
      <w:bookmarkEnd w:id="29"/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  <w:lang w:eastAsia="zh-CN"/>
        </w:rPr>
        <w:t>采用机械覆膜</w:t>
      </w:r>
      <w:r>
        <w:rPr>
          <w:rFonts w:hint="eastAsia"/>
          <w:szCs w:val="22"/>
        </w:rPr>
        <w:t>穴播</w:t>
      </w:r>
      <w:r>
        <w:rPr>
          <w:rFonts w:hint="eastAsia"/>
          <w:szCs w:val="22"/>
          <w:lang w:eastAsia="zh-CN"/>
        </w:rPr>
        <w:t>机播种</w:t>
      </w:r>
      <w:r>
        <w:rPr>
          <w:rFonts w:hint="eastAsia"/>
          <w:szCs w:val="22"/>
        </w:rPr>
        <w:t>，父母本行比为2:6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</w:rPr>
        <w:t>父本行距</w:t>
      </w:r>
      <w:r>
        <w:rPr>
          <w:rFonts w:hint="eastAsia"/>
          <w:szCs w:val="22"/>
          <w:lang w:val="en-US" w:eastAsia="zh-CN"/>
        </w:rPr>
        <w:t>30cm</w:t>
      </w:r>
      <w:r>
        <w:rPr>
          <w:rFonts w:hint="eastAsia"/>
          <w:szCs w:val="22"/>
        </w:rPr>
        <w:t>，母本行距2</w:t>
      </w:r>
      <w:r>
        <w:rPr>
          <w:rFonts w:hint="eastAsia"/>
          <w:szCs w:val="22"/>
          <w:lang w:val="en-US" w:eastAsia="zh-CN"/>
        </w:rPr>
        <w:t>5cm，</w:t>
      </w:r>
      <w:r>
        <w:rPr>
          <w:rFonts w:hint="eastAsia"/>
          <w:szCs w:val="22"/>
        </w:rPr>
        <w:t>种植行向与当地风向垂直。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30" w:name="_Toc31898"/>
      <w:bookmarkStart w:id="31" w:name="_Toc24195"/>
      <w:r>
        <w:rPr>
          <w:rFonts w:hint="eastAsia"/>
          <w:lang w:val="en-US" w:eastAsia="zh-CN"/>
        </w:rPr>
        <w:t>播种量</w:t>
      </w:r>
      <w:bookmarkEnd w:id="30"/>
      <w:bookmarkEnd w:id="31"/>
    </w:p>
    <w:p>
      <w:pPr>
        <w:pStyle w:val="258"/>
        <w:ind w:firstLine="42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父本每亩用种0.05kg，母本每亩用种0.15kg，播深1.5cm</w:t>
      </w:r>
      <w:r>
        <w:rPr>
          <w:rFonts w:hint="eastAsia"/>
          <w:szCs w:val="22"/>
        </w:rPr>
        <w:t>～</w:t>
      </w:r>
      <w:r>
        <w:rPr>
          <w:rFonts w:hint="eastAsia"/>
          <w:szCs w:val="22"/>
          <w:lang w:val="en-US" w:eastAsia="zh-CN"/>
        </w:rPr>
        <w:t>2cm。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</w:rPr>
      </w:pPr>
      <w:bookmarkStart w:id="32" w:name="_Toc3870"/>
      <w:bookmarkStart w:id="33" w:name="_Toc7493"/>
      <w:bookmarkStart w:id="34" w:name="_Toc3139"/>
      <w:bookmarkStart w:id="35" w:name="_Toc22430"/>
      <w:r>
        <w:rPr>
          <w:rFonts w:hint="eastAsia"/>
          <w:szCs w:val="22"/>
        </w:rPr>
        <w:t>田间管理</w:t>
      </w:r>
      <w:bookmarkEnd w:id="32"/>
      <w:bookmarkEnd w:id="33"/>
      <w:bookmarkEnd w:id="34"/>
      <w:bookmarkEnd w:id="35"/>
    </w:p>
    <w:p>
      <w:pPr>
        <w:pStyle w:val="260"/>
        <w:bidi w:val="0"/>
        <w:rPr>
          <w:rFonts w:hint="eastAsia"/>
          <w:lang w:val="en-US" w:eastAsia="zh-CN"/>
        </w:rPr>
      </w:pPr>
      <w:bookmarkStart w:id="36" w:name="_Toc13580"/>
      <w:bookmarkStart w:id="37" w:name="_Toc22137"/>
      <w:r>
        <w:rPr>
          <w:rFonts w:hint="eastAsia"/>
          <w:lang w:val="en-US" w:eastAsia="zh-CN"/>
        </w:rPr>
        <w:t>苗期管理</w:t>
      </w:r>
      <w:bookmarkEnd w:id="36"/>
      <w:bookmarkEnd w:id="37"/>
    </w:p>
    <w:p>
      <w:pPr>
        <w:pStyle w:val="258"/>
        <w:ind w:firstLine="42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幼苗长到2～3片真叶时结合除草，追施尿素4.0kg～5.0kg/667</w:t>
      </w:r>
      <w:r>
        <w:rPr>
          <w:rFonts w:hint="eastAsia" w:ascii="宋体" w:hAnsi="宋体" w:eastAsia="宋体" w:cs="宋体"/>
          <w:szCs w:val="22"/>
          <w:lang w:val="en-US" w:eastAsia="zh-CN"/>
        </w:rPr>
        <w:t>㎡</w:t>
      </w:r>
      <w:r>
        <w:rPr>
          <w:rFonts w:hint="eastAsia"/>
          <w:szCs w:val="22"/>
          <w:lang w:val="en-US" w:eastAsia="zh-CN"/>
        </w:rPr>
        <w:t>，并一次性间定苗、间除杂苗。每穴留苗1～2株。检查隔离区内所有田块、地头等地方，将所有其它油菜及十字花科作物植株全部清除。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38" w:name="_Toc1541"/>
      <w:bookmarkStart w:id="39" w:name="_Toc24485"/>
      <w:r>
        <w:rPr>
          <w:rFonts w:hint="eastAsia"/>
          <w:lang w:val="en-US" w:eastAsia="zh-CN"/>
        </w:rPr>
        <w:t>蕾苔期管理</w:t>
      </w:r>
      <w:bookmarkEnd w:id="38"/>
      <w:bookmarkEnd w:id="39"/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  <w:lang w:val="en-US" w:eastAsia="zh-CN"/>
        </w:rPr>
        <w:t>喷施叶面肥1～2次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</w:rPr>
        <w:t>0.2</w:t>
      </w:r>
      <w:r>
        <w:rPr>
          <w:rFonts w:hint="eastAsia"/>
          <w:szCs w:val="22"/>
          <w:lang w:val="en-US" w:eastAsia="zh-CN"/>
        </w:rPr>
        <w:t>kg</w:t>
      </w:r>
      <w:r>
        <w:rPr>
          <w:rFonts w:hint="eastAsia"/>
          <w:szCs w:val="22"/>
        </w:rPr>
        <w:t>硼肥兑水配成0.2%的溶液喷雾</w:t>
      </w:r>
      <w:r>
        <w:rPr>
          <w:rFonts w:hint="eastAsia"/>
          <w:szCs w:val="22"/>
          <w:lang w:val="en-US" w:eastAsia="zh-CN"/>
        </w:rPr>
        <w:t>，常用叶面肥见附录A</w:t>
      </w:r>
      <w:r>
        <w:rPr>
          <w:rFonts w:hint="eastAsia"/>
          <w:szCs w:val="22"/>
        </w:rPr>
        <w:t>。</w:t>
      </w:r>
    </w:p>
    <w:p>
      <w:pPr>
        <w:pStyle w:val="260"/>
        <w:bidi w:val="0"/>
        <w:rPr>
          <w:rFonts w:hint="default"/>
          <w:lang w:val="en-US" w:eastAsia="zh-CN"/>
        </w:rPr>
      </w:pPr>
      <w:bookmarkStart w:id="40" w:name="_Toc21146"/>
      <w:bookmarkStart w:id="41" w:name="_Toc19663"/>
      <w:r>
        <w:rPr>
          <w:rFonts w:hint="eastAsia"/>
          <w:lang w:val="en-US" w:eastAsia="zh-CN"/>
        </w:rPr>
        <w:t>花期</w:t>
      </w:r>
      <w:bookmarkEnd w:id="40"/>
      <w:r>
        <w:rPr>
          <w:rFonts w:hint="eastAsia"/>
          <w:lang w:val="en-US" w:eastAsia="zh-CN"/>
        </w:rPr>
        <w:t>调整</w:t>
      </w:r>
      <w:bookmarkEnd w:id="41"/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如果父本开花较早，采用掐去主茎顶部部分花蕾的办法，促使父母本花期相遇。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42" w:name="_Toc2498"/>
      <w:bookmarkStart w:id="43" w:name="_Toc14399"/>
      <w:r>
        <w:rPr>
          <w:rFonts w:hint="eastAsia"/>
          <w:lang w:val="en-US" w:eastAsia="zh-CN"/>
        </w:rPr>
        <w:t>病虫害统防统治</w:t>
      </w:r>
      <w:bookmarkEnd w:id="42"/>
      <w:bookmarkEnd w:id="43"/>
    </w:p>
    <w:p>
      <w:pPr>
        <w:pStyle w:val="258"/>
        <w:ind w:firstLine="420"/>
        <w:rPr>
          <w:rFonts w:hint="eastAsia" w:eastAsia="宋体"/>
          <w:szCs w:val="22"/>
          <w:lang w:val="en-US" w:eastAsia="zh-CN"/>
        </w:rPr>
      </w:pPr>
      <w:r>
        <w:rPr>
          <w:rFonts w:hint="eastAsia"/>
          <w:szCs w:val="22"/>
        </w:rPr>
        <w:t>根据农艺要求、做好病虫害</w:t>
      </w:r>
      <w:r>
        <w:rPr>
          <w:rFonts w:hint="eastAsia"/>
          <w:szCs w:val="22"/>
          <w:lang w:eastAsia="zh-CN"/>
        </w:rPr>
        <w:t>统防统治，</w:t>
      </w:r>
      <w:r>
        <w:rPr>
          <w:rFonts w:hint="eastAsia"/>
          <w:szCs w:val="22"/>
          <w:lang w:val="en-US" w:eastAsia="zh-CN"/>
        </w:rPr>
        <w:t>防治方法宜采用机械化喷雾防治</w:t>
      </w:r>
      <w:r>
        <w:rPr>
          <w:rFonts w:hint="eastAsia"/>
          <w:szCs w:val="22"/>
        </w:rPr>
        <w:t>。</w:t>
      </w:r>
      <w:r>
        <w:rPr>
          <w:rFonts w:hint="eastAsia"/>
          <w:szCs w:val="22"/>
          <w:lang w:eastAsia="zh-CN"/>
        </w:rPr>
        <w:t>农药防治</w:t>
      </w:r>
      <w:r>
        <w:rPr>
          <w:rFonts w:hint="eastAsia"/>
          <w:szCs w:val="22"/>
          <w:lang w:val="en-US" w:eastAsia="zh-CN"/>
        </w:rPr>
        <w:t>应符合</w:t>
      </w:r>
      <w:r>
        <w:rPr>
          <w:rFonts w:hint="eastAsia"/>
          <w:szCs w:val="22"/>
          <w:lang w:eastAsia="zh-CN"/>
        </w:rPr>
        <w:t>NY/T 1276的规定。</w:t>
      </w:r>
    </w:p>
    <w:p>
      <w:pPr>
        <w:pStyle w:val="260"/>
        <w:bidi w:val="0"/>
        <w:rPr>
          <w:rFonts w:hint="default"/>
          <w:lang w:val="en-US" w:eastAsia="zh-CN"/>
        </w:rPr>
      </w:pPr>
      <w:bookmarkStart w:id="44" w:name="_Toc16866"/>
      <w:bookmarkStart w:id="45" w:name="_Toc12218"/>
      <w:r>
        <w:rPr>
          <w:rFonts w:hint="eastAsia"/>
          <w:lang w:val="en-US" w:eastAsia="zh-CN"/>
        </w:rPr>
        <w:t>去杂保纯</w:t>
      </w:r>
      <w:bookmarkEnd w:id="44"/>
      <w:bookmarkEnd w:id="45"/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初花前期开始，拔除母本行内具有正常花粉和微量花粉以及株型高大,分枝多，株形松散的植株，对父本行内的杂株也要去除，花期去杂要及时反复多次进行，直到找不出杂株为止；去杂时应连根拔。</w:t>
      </w:r>
    </w:p>
    <w:p>
      <w:pPr>
        <w:pStyle w:val="260"/>
        <w:bidi w:val="0"/>
        <w:rPr>
          <w:rFonts w:hint="eastAsia"/>
        </w:rPr>
      </w:pPr>
      <w:bookmarkStart w:id="46" w:name="_Toc28762"/>
      <w:r>
        <w:rPr>
          <w:rFonts w:hint="eastAsia"/>
          <w:lang w:val="en-US" w:eastAsia="zh-CN"/>
        </w:rPr>
        <w:t>辅助授粉</w:t>
      </w:r>
      <w:bookmarkEnd w:id="46"/>
    </w:p>
    <w:p>
      <w:pPr>
        <w:pStyle w:val="258"/>
        <w:bidi w:val="0"/>
        <w:rPr>
          <w:rFonts w:hint="default"/>
          <w:lang w:val="en-US"/>
        </w:rPr>
      </w:pPr>
      <w:r>
        <w:rPr>
          <w:rFonts w:hint="eastAsia"/>
          <w:lang w:val="en-US" w:eastAsia="zh-CN"/>
        </w:rPr>
        <w:t>花期授粉时，在制种区域内增加蜜蜂，放置蜜蜂时应先在箱内关闭2</w:t>
      </w:r>
      <w:r>
        <w:rPr>
          <w:rFonts w:hint="eastAsia"/>
          <w:szCs w:val="22"/>
          <w:lang w:val="en-US" w:eastAsia="zh-CN"/>
        </w:rPr>
        <w:t>～</w:t>
      </w:r>
      <w:r>
        <w:rPr>
          <w:rFonts w:hint="eastAsia"/>
          <w:lang w:val="en-US" w:eastAsia="zh-CN"/>
        </w:rPr>
        <w:t>3天。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47" w:name="_Toc31734"/>
      <w:bookmarkStart w:id="48" w:name="_Toc6055"/>
      <w:r>
        <w:rPr>
          <w:rFonts w:hint="eastAsia"/>
          <w:lang w:val="en-US" w:eastAsia="zh-CN"/>
        </w:rPr>
        <w:t>割除父本</w:t>
      </w:r>
      <w:bookmarkEnd w:id="47"/>
      <w:bookmarkEnd w:id="48"/>
    </w:p>
    <w:p>
      <w:pPr>
        <w:pStyle w:val="258"/>
        <w:ind w:firstLine="42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>在父本终花前及时割除父本，并对所有制种田逐一进行复查。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</w:rPr>
      </w:pPr>
      <w:bookmarkStart w:id="49" w:name="_Toc7741"/>
      <w:bookmarkStart w:id="50" w:name="_Toc26778"/>
      <w:bookmarkStart w:id="51" w:name="_Toc5915"/>
      <w:bookmarkStart w:id="52" w:name="_Toc25001"/>
      <w:r>
        <w:rPr>
          <w:rFonts w:hint="eastAsia"/>
          <w:szCs w:val="22"/>
        </w:rPr>
        <w:t>机械收获</w:t>
      </w:r>
      <w:bookmarkEnd w:id="49"/>
      <w:bookmarkEnd w:id="50"/>
      <w:bookmarkEnd w:id="51"/>
      <w:bookmarkEnd w:id="52"/>
    </w:p>
    <w:p>
      <w:pPr>
        <w:pStyle w:val="260"/>
        <w:bidi w:val="0"/>
        <w:rPr>
          <w:rFonts w:hint="eastAsia"/>
          <w:lang w:val="en-US" w:eastAsia="zh-CN"/>
        </w:rPr>
      </w:pPr>
      <w:bookmarkStart w:id="53" w:name="_Toc19573"/>
      <w:bookmarkStart w:id="54" w:name="_Toc25835"/>
      <w:r>
        <w:rPr>
          <w:rFonts w:hint="eastAsia"/>
          <w:lang w:val="en-US" w:eastAsia="zh-CN"/>
        </w:rPr>
        <w:t>联合收获</w:t>
      </w:r>
      <w:bookmarkEnd w:id="53"/>
      <w:bookmarkEnd w:id="54"/>
    </w:p>
    <w:p>
      <w:pPr>
        <w:pStyle w:val="258"/>
        <w:bidi w:val="0"/>
        <w:rPr>
          <w:rFonts w:hint="eastAsia"/>
        </w:rPr>
      </w:pPr>
      <w:r>
        <w:rPr>
          <w:rFonts w:hint="eastAsia"/>
        </w:rPr>
        <w:t>油菜全株角果</w:t>
      </w:r>
      <w:r>
        <w:rPr>
          <w:rFonts w:hint="eastAsia"/>
          <w:lang w:eastAsia="zh-CN"/>
        </w:rPr>
        <w:t>籽粒</w:t>
      </w:r>
      <w:r>
        <w:rPr>
          <w:rFonts w:hint="eastAsia"/>
        </w:rPr>
        <w:t>90</w:t>
      </w:r>
      <w:r>
        <w:rPr>
          <w:rFonts w:hint="eastAsia"/>
          <w:lang w:val="en-US" w:eastAsia="zh-CN"/>
        </w:rPr>
        <w:t>%</w:t>
      </w:r>
      <w:r>
        <w:rPr>
          <w:rFonts w:hint="eastAsia"/>
          <w:szCs w:val="22"/>
          <w:lang w:val="en-US" w:eastAsia="zh-CN"/>
        </w:rPr>
        <w:t>～</w:t>
      </w:r>
      <w:r>
        <w:rPr>
          <w:rFonts w:hint="eastAsia"/>
          <w:lang w:val="en-US" w:eastAsia="zh-CN"/>
        </w:rPr>
        <w:t>95</w:t>
      </w:r>
      <w:r>
        <w:rPr>
          <w:rFonts w:hint="eastAsia"/>
        </w:rPr>
        <w:t>%以上呈楬色</w:t>
      </w:r>
      <w:r>
        <w:rPr>
          <w:rFonts w:hint="eastAsia"/>
          <w:lang w:val="en-US" w:eastAsia="zh-CN"/>
        </w:rPr>
        <w:t>时采用联合收割机进行收获，</w:t>
      </w:r>
      <w:r>
        <w:rPr>
          <w:rFonts w:hint="eastAsia"/>
        </w:rPr>
        <w:t>应避免雨天和露水未干时收获。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55" w:name="_Toc27555"/>
      <w:bookmarkStart w:id="56" w:name="_Toc23296"/>
      <w:r>
        <w:rPr>
          <w:rFonts w:hint="eastAsia"/>
          <w:lang w:val="en-US" w:eastAsia="zh-CN"/>
        </w:rPr>
        <w:t>分段收获</w:t>
      </w:r>
      <w:bookmarkEnd w:id="55"/>
      <w:bookmarkEnd w:id="56"/>
    </w:p>
    <w:p>
      <w:pPr>
        <w:pStyle w:val="258"/>
        <w:bidi w:val="0"/>
        <w:rPr>
          <w:rFonts w:hint="eastAsia"/>
        </w:rPr>
      </w:pPr>
      <w:r>
        <w:rPr>
          <w:rFonts w:hint="eastAsia"/>
        </w:rPr>
        <w:t>油菜全株70%</w:t>
      </w:r>
      <w:r>
        <w:rPr>
          <w:rFonts w:hint="eastAsia"/>
          <w:szCs w:val="22"/>
          <w:lang w:val="en-US" w:eastAsia="zh-CN"/>
        </w:rPr>
        <w:t>～</w:t>
      </w:r>
      <w:r>
        <w:rPr>
          <w:rFonts w:hint="eastAsia"/>
        </w:rPr>
        <w:t>80%角果呈黄绿至淡黄</w:t>
      </w:r>
      <w:r>
        <w:rPr>
          <w:rFonts w:hint="eastAsia"/>
          <w:lang w:eastAsia="zh-CN"/>
        </w:rPr>
        <w:t>色</w:t>
      </w:r>
      <w:r>
        <w:rPr>
          <w:rFonts w:hint="eastAsia"/>
        </w:rPr>
        <w:t>，分枝角果基本退色, 种皮也由绿色转为红褐色</w:t>
      </w:r>
      <w:r>
        <w:rPr>
          <w:rFonts w:hint="eastAsia"/>
          <w:lang w:val="en-US" w:eastAsia="zh-CN"/>
        </w:rPr>
        <w:t>时</w:t>
      </w:r>
      <w:r>
        <w:rPr>
          <w:rFonts w:hint="eastAsia"/>
        </w:rPr>
        <w:t>采用割晒机将油菜割倒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田间</w:t>
      </w:r>
      <w:r>
        <w:rPr>
          <w:rFonts w:hint="eastAsia"/>
        </w:rPr>
        <w:t>晾晒5</w:t>
      </w:r>
      <w:r>
        <w:rPr>
          <w:rFonts w:hint="eastAsia"/>
          <w:szCs w:val="22"/>
          <w:lang w:val="en-US" w:eastAsia="zh-CN"/>
        </w:rPr>
        <w:t>～</w:t>
      </w:r>
      <w:r>
        <w:rPr>
          <w:rFonts w:hint="eastAsia"/>
        </w:rPr>
        <w:t>7天</w:t>
      </w:r>
      <w:r>
        <w:rPr>
          <w:rFonts w:hint="eastAsia"/>
          <w:lang w:eastAsia="zh-CN"/>
        </w:rPr>
        <w:t>，</w:t>
      </w:r>
      <w:r>
        <w:rPr>
          <w:rFonts w:hint="eastAsia"/>
        </w:rPr>
        <w:t>用机械进行捡拾、脱粒及清选作业。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57" w:name="_Toc18166"/>
      <w:bookmarkStart w:id="58" w:name="_Toc28734"/>
      <w:r>
        <w:rPr>
          <w:rFonts w:hint="eastAsia"/>
          <w:lang w:val="en-US" w:eastAsia="zh-CN"/>
        </w:rPr>
        <w:t>产量指标</w:t>
      </w:r>
      <w:bookmarkEnd w:id="57"/>
      <w:bookmarkEnd w:id="58"/>
    </w:p>
    <w:p>
      <w:pPr>
        <w:pStyle w:val="331"/>
        <w:bidi w:val="0"/>
        <w:rPr>
          <w:rFonts w:hint="default" w:ascii="宋体" w:hAnsi="Times New Roman" w:eastAsia="宋体" w:cs="Times New Roman"/>
          <w:sz w:val="21"/>
          <w:lang w:val="en-US" w:eastAsia="zh-CN" w:bidi="ar-SA"/>
        </w:rPr>
      </w:pP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早熟品种高水肥条件下产量达1800kg/hm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 xml:space="preserve"> ～2250kg/hm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，中水肥条件下达1200kg/hm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～1500kg/hm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。</w:t>
      </w:r>
    </w:p>
    <w:p>
      <w:pPr>
        <w:pStyle w:val="331"/>
        <w:bidi w:val="0"/>
        <w:rPr>
          <w:rFonts w:hint="eastAsia"/>
        </w:rPr>
      </w:pP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中晚熟品种高水肥条件下产量达3000kg/hm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 xml:space="preserve"> ～3300kg/hm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，中水肥条件下达1800kg/hm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～2250kg/hm</w:t>
      </w:r>
      <w:r>
        <w:rPr>
          <w:rFonts w:hint="eastAsia" w:ascii="宋体" w:hAnsi="Times New Roman" w:eastAsia="宋体" w:cs="Times New Roman"/>
          <w:sz w:val="21"/>
          <w:vertAlign w:val="superscript"/>
          <w:lang w:val="en-US" w:eastAsia="zh-CN" w:bidi="ar-SA"/>
        </w:rPr>
        <w:t>2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 xml:space="preserve"> 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59" w:name="_Toc14715"/>
      <w:bookmarkStart w:id="60" w:name="_Toc6847"/>
      <w:bookmarkStart w:id="61" w:name="_Toc18677"/>
      <w:r>
        <w:rPr>
          <w:rFonts w:hint="eastAsia"/>
          <w:lang w:val="en-US" w:eastAsia="zh-CN"/>
        </w:rPr>
        <w:t>质量要求</w:t>
      </w:r>
      <w:bookmarkEnd w:id="59"/>
      <w:bookmarkEnd w:id="60"/>
      <w:bookmarkEnd w:id="61"/>
    </w:p>
    <w:p>
      <w:pPr>
        <w:pStyle w:val="260"/>
        <w:bidi w:val="0"/>
        <w:rPr>
          <w:rFonts w:hint="eastAsia"/>
          <w:lang w:val="en-US" w:eastAsia="zh-CN"/>
        </w:rPr>
      </w:pPr>
      <w:bookmarkStart w:id="62" w:name="_Toc22212"/>
      <w:bookmarkStart w:id="63" w:name="_Toc3154"/>
      <w:r>
        <w:rPr>
          <w:rFonts w:hint="eastAsia"/>
          <w:lang w:val="en-US" w:eastAsia="zh-CN"/>
        </w:rPr>
        <w:t>质量指标</w:t>
      </w:r>
      <w:bookmarkEnd w:id="62"/>
      <w:bookmarkEnd w:id="63"/>
    </w:p>
    <w:p>
      <w:pPr>
        <w:pStyle w:val="258"/>
        <w:rPr>
          <w:rFonts w:hint="eastAsia"/>
          <w:szCs w:val="22"/>
          <w:lang w:eastAsia="zh-CN"/>
        </w:rPr>
      </w:pPr>
      <w:r>
        <w:rPr>
          <w:rFonts w:hint="eastAsia"/>
          <w:lang w:val="en-US" w:eastAsia="zh-CN"/>
        </w:rPr>
        <w:t>杂交油菜种子质量应符合</w:t>
      </w:r>
      <w:r>
        <w:rPr>
          <w:rFonts w:hint="eastAsia"/>
          <w:szCs w:val="22"/>
        </w:rPr>
        <w:fldChar w:fldCharType="begin"/>
      </w:r>
      <w:r>
        <w:rPr>
          <w:rFonts w:hint="eastAsia"/>
          <w:szCs w:val="22"/>
        </w:rPr>
        <w:instrText xml:space="preserve"> HYPERLINK "https://www.so.com/link?m=ajNnYY6U5aazK/997sT0fFKpmhpRpF1OOhI1UWN8mN4GarEL42yEWI2CV4tZK82aufNS7JCAvKtu7eWKTugwqMmucQjSNgnXZ1mDUsDSciHvLzGnhe/Pa1gnlAR6amn7bRK4xB6iKBYxJRaEJXqWFQw==" \t "https://www.so.com/_blank" </w:instrText>
      </w:r>
      <w:r>
        <w:rPr>
          <w:rFonts w:hint="eastAsia"/>
          <w:szCs w:val="22"/>
        </w:rPr>
        <w:fldChar w:fldCharType="separate"/>
      </w:r>
      <w:r>
        <w:rPr>
          <w:rFonts w:hint="eastAsia"/>
          <w:szCs w:val="22"/>
        </w:rPr>
        <w:t>GB4407.2</w:t>
      </w:r>
      <w:r>
        <w:rPr>
          <w:rFonts w:hint="eastAsia"/>
          <w:szCs w:val="22"/>
          <w:lang w:val="en-US" w:eastAsia="zh-CN"/>
        </w:rPr>
        <w:t>的</w:t>
      </w:r>
      <w:r>
        <w:rPr>
          <w:rFonts w:hint="eastAsia"/>
          <w:szCs w:val="22"/>
        </w:rPr>
        <w:fldChar w:fldCharType="end"/>
      </w:r>
      <w:r>
        <w:rPr>
          <w:rFonts w:hint="eastAsia"/>
          <w:szCs w:val="22"/>
          <w:lang w:val="en-US" w:eastAsia="zh-CN"/>
        </w:rPr>
        <w:t>要求</w:t>
      </w:r>
      <w:r>
        <w:rPr>
          <w:rFonts w:hint="eastAsia"/>
          <w:szCs w:val="22"/>
          <w:lang w:eastAsia="zh-CN"/>
        </w:rPr>
        <w:t>。</w:t>
      </w:r>
    </w:p>
    <w:p>
      <w:pPr>
        <w:pStyle w:val="260"/>
        <w:bidi w:val="0"/>
        <w:rPr>
          <w:rFonts w:hint="eastAsia"/>
          <w:lang w:eastAsia="zh-CN"/>
        </w:rPr>
      </w:pPr>
      <w:bookmarkStart w:id="64" w:name="_Toc3160"/>
      <w:bookmarkStart w:id="65" w:name="_Toc3445"/>
      <w:r>
        <w:rPr>
          <w:rFonts w:hint="eastAsia"/>
          <w:lang w:eastAsia="zh-CN"/>
        </w:rPr>
        <w:t>质量检验方法</w:t>
      </w:r>
      <w:bookmarkEnd w:id="64"/>
      <w:bookmarkEnd w:id="65"/>
    </w:p>
    <w:p>
      <w:pPr>
        <w:pStyle w:val="258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按</w:t>
      </w:r>
      <w:r>
        <w:rPr>
          <w:rFonts w:hint="eastAsia"/>
          <w:lang w:val="en-US" w:eastAsia="zh-CN"/>
        </w:rPr>
        <w:t>GB/T 3543.2</w:t>
      </w:r>
      <w:r>
        <w:rPr>
          <w:rFonts w:hint="eastAsia"/>
          <w:szCs w:val="22"/>
          <w:lang w:val="en-US" w:eastAsia="zh-CN"/>
        </w:rPr>
        <w:t>～</w:t>
      </w:r>
      <w:r>
        <w:rPr>
          <w:rFonts w:hint="eastAsia"/>
          <w:lang w:val="en-US" w:eastAsia="zh-CN"/>
        </w:rPr>
        <w:t>3543.7的要求执行。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66" w:name="_Toc6261"/>
      <w:bookmarkStart w:id="67" w:name="_Toc5300"/>
      <w:r>
        <w:rPr>
          <w:rFonts w:hint="eastAsia"/>
          <w:lang w:val="en-US" w:eastAsia="zh-CN"/>
        </w:rPr>
        <w:t>检验规则</w:t>
      </w:r>
      <w:bookmarkEnd w:id="66"/>
      <w:bookmarkEnd w:id="67"/>
    </w:p>
    <w:p>
      <w:pPr>
        <w:pStyle w:val="258"/>
        <w:rPr>
          <w:rFonts w:hint="eastAsia"/>
          <w:szCs w:val="22"/>
          <w:lang w:eastAsia="zh-CN"/>
        </w:rPr>
      </w:pPr>
      <w:r>
        <w:rPr>
          <w:rFonts w:hint="eastAsia"/>
          <w:lang w:val="en-US" w:eastAsia="zh-CN"/>
        </w:rPr>
        <w:t>按</w:t>
      </w:r>
      <w:r>
        <w:rPr>
          <w:rFonts w:hint="eastAsia"/>
          <w:szCs w:val="22"/>
        </w:rPr>
        <w:t>GB4407.2</w:t>
      </w:r>
      <w:r>
        <w:rPr>
          <w:rFonts w:hint="eastAsia"/>
          <w:szCs w:val="22"/>
          <w:lang w:eastAsia="zh-CN"/>
        </w:rPr>
        <w:t>执行。</w:t>
      </w:r>
    </w:p>
    <w:p>
      <w:pPr>
        <w:pStyle w:val="258"/>
        <w:rPr>
          <w:rFonts w:hint="eastAsia"/>
          <w:lang w:val="en-US" w:eastAsia="zh-CN"/>
        </w:rPr>
      </w:pPr>
    </w:p>
    <w:p>
      <w:pPr>
        <w:pStyle w:val="258"/>
        <w:rPr>
          <w:rFonts w:hint="eastAsia"/>
          <w:lang w:val="en-US" w:eastAsia="zh-CN"/>
        </w:rPr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  <w:sectPr>
          <w:headerReference r:id="rId13" w:type="first"/>
          <w:footerReference r:id="rId14" w:type="first"/>
          <w:pgSz w:w="11907" w:h="16839"/>
          <w:pgMar w:top="1418" w:right="1134" w:bottom="1134" w:left="1418" w:header="1418" w:footer="1134" w:gutter="0"/>
          <w:lnNumType w:countBy="0" w:restart="continuous"/>
          <w:pgNumType w:fmt="decimal" w:start="1"/>
          <w:cols w:space="425" w:num="1"/>
          <w:rtlGutter w:val="0"/>
          <w:docGrid w:linePitch="312" w:charSpace="0"/>
        </w:sectPr>
      </w:pPr>
    </w:p>
    <w:p>
      <w:pPr>
        <w:pStyle w:val="349"/>
        <w:bidi w:val="0"/>
      </w:pPr>
      <w:bookmarkStart w:id="68" w:name="标准附录"/>
      <w:bookmarkEnd w:id="68"/>
    </w:p>
    <w:p>
      <w:pPr>
        <w:pStyle w:val="350"/>
        <w:bidi w:val="0"/>
      </w:pPr>
    </w:p>
    <w:p>
      <w:pPr>
        <w:pStyle w:val="274"/>
        <w:bidi w:val="0"/>
        <w:jc w:val="center"/>
      </w:pPr>
      <w:bookmarkStart w:id="69" w:name="_Toc13458"/>
      <w:bookmarkStart w:id="70" w:name="_Toc21111"/>
      <w:r>
        <w:br w:type="textWrapping"/>
      </w:r>
      <w:r>
        <w:rPr>
          <w:rFonts w:hint="eastAsia"/>
          <w:lang w:eastAsia="zh-CN"/>
        </w:rPr>
        <w:t>（资料性附录）</w:t>
      </w:r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>常用叶面肥及使用方法</w:t>
      </w:r>
      <w:bookmarkEnd w:id="69"/>
      <w:bookmarkEnd w:id="70"/>
    </w:p>
    <w:p>
      <w:pPr>
        <w:pStyle w:val="275"/>
        <w:bidi w:val="0"/>
      </w:pPr>
      <w:r>
        <w:rPr>
          <w:rFonts w:hint="eastAsia"/>
          <w:lang w:val="en-US" w:eastAsia="zh-CN"/>
        </w:rPr>
        <w:t>常用叶面肥及使用方法</w:t>
      </w:r>
    </w:p>
    <w:tbl>
      <w:tblPr>
        <w:tblStyle w:val="89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0"/>
        <w:gridCol w:w="4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4240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叶面肥</w:t>
            </w:r>
          </w:p>
        </w:tc>
        <w:tc>
          <w:tcPr>
            <w:tcW w:w="4240" w:type="dxa"/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使用方法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240" w:type="dxa"/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农科壮</w:t>
            </w:r>
          </w:p>
        </w:tc>
        <w:tc>
          <w:tcPr>
            <w:tcW w:w="4240" w:type="dxa"/>
            <w:vAlign w:val="center"/>
          </w:tcPr>
          <w:p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稀释500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～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800倍于苗期喷施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4240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磷酸二氢钾</w:t>
            </w:r>
          </w:p>
        </w:tc>
        <w:tc>
          <w:tcPr>
            <w:tcW w:w="4240" w:type="dxa"/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稀释500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～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800倍于苗期喷施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240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谷乐丰 聚谷氨酸有机水溶肥</w:t>
            </w:r>
          </w:p>
        </w:tc>
        <w:tc>
          <w:tcPr>
            <w:tcW w:w="4240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15ml兑水15公斤叶面喷施</w:t>
            </w:r>
          </w:p>
        </w:tc>
      </w:tr>
    </w:tbl>
    <w:p/>
    <w:p>
      <w:pPr>
        <w:pStyle w:val="258"/>
        <w:bidi w:val="0"/>
        <w:ind w:left="0" w:leftChars="0" w:firstLine="0" w:firstLineChars="0"/>
      </w:pPr>
    </w:p>
    <w:p>
      <w:pPr>
        <w:pStyle w:val="258"/>
        <w:bidi w:val="0"/>
        <w:jc w:val="center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黑体" w:hAnsi="黑体" w:eastAsia="黑体" w:cs="黑体"/>
          <w:b/>
          <w:sz w:val="21"/>
          <w:lang w:eastAsia="zh-CN"/>
        </w:rPr>
        <w:t>━━━━━━━━━━━</w:t>
      </w:r>
    </w:p>
    <w:sectPr>
      <w:pgSz w:w="11907" w:h="16839"/>
      <w:pgMar w:top="1418" w:right="1134" w:bottom="1134" w:left="1418" w:header="1418" w:footer="1134" w:gutter="0"/>
      <w:lnNumType w:countBy="0" w:restart="continuous"/>
      <w:pgNumType w:fmt="decimal"/>
      <w:cols w:space="425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ritannic Bold">
    <w:altName w:val="Segoe Print"/>
    <w:panose1 w:val="020B0903060703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1"/>
      <w:ind w:right="360" w:firstLine="360" w:firstLineChars="0"/>
      <w:rPr>
        <w:rStyle w:val="23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rPr>
        <w:rFonts w:hint="eastAsia"/>
        <w:lang w:eastAsia="zh-CN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59"/>
      <w:ind w:firstLine="36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59"/>
      <w:ind w:firstLine="36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4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  <w:bidi w:val="0"/>
      <w:rPr>
        <w:rFonts w:hint="eastAsia"/>
        <w:lang w:eastAsia="zh-C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  <w:bidi w:val="0"/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7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5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2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20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23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9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6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30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079102AD"/>
    <w:multiLevelType w:val="multilevel"/>
    <w:tmpl w:val="079102AD"/>
    <w:lvl w:ilvl="0" w:tentative="0">
      <w:start w:val="1"/>
      <w:numFmt w:val="decimal"/>
      <w:pStyle w:val="304"/>
      <w:suff w:val="nothing"/>
      <w:lvlText w:val="注%1："/>
      <w:lvlJc w:val="left"/>
      <w:pPr>
        <w:ind w:left="811" w:hanging="448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>
    <w:nsid w:val="09227E31"/>
    <w:multiLevelType w:val="multilevel"/>
    <w:tmpl w:val="09227E31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1" w:tentative="0">
      <w:start w:val="1"/>
      <w:numFmt w:val="decimal"/>
      <w:pStyle w:val="301"/>
      <w:suff w:val="nothing"/>
      <w:lvlText w:val="表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  <w14:cntxtalts w14:val="0"/>
      </w:rPr>
    </w:lvl>
    <w:lvl w:ilvl="2" w:tentative="0">
      <w:start w:val="1"/>
      <w:numFmt w:val="none"/>
      <w:pStyle w:val="317"/>
      <w:suff w:val="nothing"/>
      <w:lvlText w:val="%1表%2　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>
    <w:nsid w:val="0AE367E9"/>
    <w:multiLevelType w:val="multilevel"/>
    <w:tmpl w:val="0AE367E9"/>
    <w:lvl w:ilvl="0" w:tentative="0">
      <w:start w:val="1"/>
      <w:numFmt w:val="none"/>
      <w:pStyle w:val="292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>
    <w:nsid w:val="0D46713A"/>
    <w:multiLevelType w:val="multilevel"/>
    <w:tmpl w:val="0D46713A"/>
    <w:lvl w:ilvl="0" w:tentative="0">
      <w:start w:val="1"/>
      <w:numFmt w:val="bullet"/>
      <w:pStyle w:val="326"/>
      <w:lvlText w:val=""/>
      <w:lvlJc w:val="left"/>
      <w:pPr>
        <w:ind w:left="20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2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04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46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88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30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72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14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566" w:hanging="420"/>
      </w:pPr>
      <w:rPr>
        <w:rFonts w:hint="default" w:ascii="Wingdings" w:hAnsi="Wingdings"/>
      </w:rPr>
    </w:lvl>
  </w:abstractNum>
  <w:abstractNum w:abstractNumId="14">
    <w:nsid w:val="1FC91163"/>
    <w:multiLevelType w:val="multilevel"/>
    <w:tmpl w:val="1FC91163"/>
    <w:lvl w:ilvl="0" w:tentative="0">
      <w:start w:val="1"/>
      <w:numFmt w:val="decimal"/>
      <w:pStyle w:val="259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6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26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90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95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300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>
    <w:nsid w:val="2A8F7113"/>
    <w:multiLevelType w:val="multilevel"/>
    <w:tmpl w:val="2A8F7113"/>
    <w:lvl w:ilvl="0" w:tentative="0">
      <w:start w:val="1"/>
      <w:numFmt w:val="upperLetter"/>
      <w:pStyle w:val="350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81"/>
      <w:suff w:val="nothing"/>
      <w:lvlText w:val="图%1.%2　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>
    <w:nsid w:val="41A64E98"/>
    <w:multiLevelType w:val="multilevel"/>
    <w:tmpl w:val="41A64E98"/>
    <w:lvl w:ilvl="0" w:tentative="0">
      <w:start w:val="1"/>
      <w:numFmt w:val="decimal"/>
      <w:pStyle w:val="306"/>
      <w:lvlText w:val="0.%1"/>
      <w:lvlJc w:val="left"/>
      <w:pPr>
        <w:tabs>
          <w:tab w:val="left" w:pos="36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347"/>
      <w:lvlText w:val="0.%1.%2"/>
      <w:lvlJc w:val="left"/>
      <w:pPr>
        <w:tabs>
          <w:tab w:val="left" w:pos="72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7">
    <w:nsid w:val="44C50F90"/>
    <w:multiLevelType w:val="multilevel"/>
    <w:tmpl w:val="44C50F90"/>
    <w:lvl w:ilvl="0" w:tentative="0">
      <w:start w:val="1"/>
      <w:numFmt w:val="lowerLetter"/>
      <w:pStyle w:val="305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9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8">
    <w:nsid w:val="4B733A5F"/>
    <w:multiLevelType w:val="multilevel"/>
    <w:tmpl w:val="4B733A5F"/>
    <w:lvl w:ilvl="0" w:tentative="0">
      <w:start w:val="1"/>
      <w:numFmt w:val="decimal"/>
      <w:pStyle w:val="307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9">
    <w:nsid w:val="55E02EF4"/>
    <w:multiLevelType w:val="multilevel"/>
    <w:tmpl w:val="55E02EF4"/>
    <w:lvl w:ilvl="0" w:tentative="0">
      <w:start w:val="1"/>
      <w:numFmt w:val="decimal"/>
      <w:pStyle w:val="302"/>
      <w:lvlText w:val="图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>
    <w:nsid w:val="5B7E3733"/>
    <w:multiLevelType w:val="multilevel"/>
    <w:tmpl w:val="5B7E3733"/>
    <w:lvl w:ilvl="0" w:tentative="0">
      <w:start w:val="1"/>
      <w:numFmt w:val="decimal"/>
      <w:pStyle w:val="296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1">
    <w:nsid w:val="60B55DC2"/>
    <w:multiLevelType w:val="multilevel"/>
    <w:tmpl w:val="60B55DC2"/>
    <w:lvl w:ilvl="0" w:tentative="0">
      <w:start w:val="1"/>
      <w:numFmt w:val="upperLetter"/>
      <w:pStyle w:val="349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275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2" w:tentative="0">
      <w:start w:val="1"/>
      <w:numFmt w:val="none"/>
      <w:pStyle w:val="318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1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2">
    <w:nsid w:val="657D3FBC"/>
    <w:multiLevelType w:val="multilevel"/>
    <w:tmpl w:val="657D3FBC"/>
    <w:lvl w:ilvl="0" w:tentative="0">
      <w:start w:val="1"/>
      <w:numFmt w:val="upperLetter"/>
      <w:pStyle w:val="27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276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277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78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79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80"/>
      <w:suff w:val="nothing"/>
      <w:lvlText w:val="%1.%2.%3.%4.%5.%6　"/>
      <w:lvlJc w:val="left"/>
      <w:pPr>
        <w:ind w:left="0" w:firstLine="0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6" w:tentative="0">
      <w:start w:val="1"/>
      <w:numFmt w:val="decimal"/>
      <w:pStyle w:val="282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3">
    <w:nsid w:val="6DBF04F4"/>
    <w:multiLevelType w:val="multilevel"/>
    <w:tmpl w:val="6DBF04F4"/>
    <w:lvl w:ilvl="0" w:tentative="0">
      <w:start w:val="1"/>
      <w:numFmt w:val="none"/>
      <w:pStyle w:val="303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4">
    <w:nsid w:val="763A6836"/>
    <w:multiLevelType w:val="multilevel"/>
    <w:tmpl w:val="763A6836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1" w:tentative="0">
      <w:start w:val="1"/>
      <w:numFmt w:val="decimal"/>
      <w:pStyle w:val="308"/>
      <w:suff w:val="nothing"/>
      <w:lvlText w:val="%1%2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2" w:tentative="0">
      <w:start w:val="1"/>
      <w:numFmt w:val="decimal"/>
      <w:pStyle w:val="309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3" w:tentative="0">
      <w:start w:val="1"/>
      <w:numFmt w:val="decimal"/>
      <w:pStyle w:val="310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4" w:tentative="0">
      <w:start w:val="1"/>
      <w:numFmt w:val="decimal"/>
      <w:pStyle w:val="311"/>
      <w:suff w:val="nothing"/>
      <w:lvlText w:val="表%1%2.%3.%4-%5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5" w:tentative="0">
      <w:start w:val="1"/>
      <w:numFmt w:val="decimal"/>
      <w:lvlRestart w:val="4"/>
      <w:pStyle w:val="312"/>
      <w:suff w:val="nothing"/>
      <w:lvlText w:val="%1图%2.%3.%4-%6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6" w:tentative="0">
      <w:start w:val="1"/>
      <w:numFmt w:val="decimal"/>
      <w:lvlRestart w:val="4"/>
      <w:pStyle w:val="313"/>
      <w:suff w:val="nothing"/>
      <w:lvlText w:val="(%2.%3.%4-%7)"/>
      <w:lvlJc w:val="center"/>
      <w:pPr>
        <w:ind w:left="288" w:firstLine="288"/>
      </w:pPr>
      <w:rPr>
        <w:rFonts w:hint="eastAsia" w:ascii="黑体" w:hAnsi="Times New Roman" w:eastAsia="黑体"/>
        <w:b/>
        <w:i w:val="0"/>
        <w:sz w:val="21"/>
      </w:rPr>
    </w:lvl>
    <w:lvl w:ilvl="7" w:tentative="0">
      <w:start w:val="1"/>
      <w:numFmt w:val="decimal"/>
      <w:lvlRestart w:val="2"/>
      <w:pStyle w:val="315"/>
      <w:lvlText w:val="    %1%8"/>
      <w:lvlJc w:val="left"/>
      <w:pPr>
        <w:tabs>
          <w:tab w:val="left" w:pos="720"/>
        </w:tabs>
        <w:ind w:left="0" w:firstLine="0"/>
      </w:pPr>
      <w:rPr>
        <w:rFonts w:hint="eastAsia" w:ascii="黑体" w:eastAsia="黑体"/>
        <w:b/>
        <w:i w:val="0"/>
        <w:sz w:val="21"/>
      </w:rPr>
    </w:lvl>
    <w:lvl w:ilvl="8" w:tentative="0">
      <w:start w:val="1"/>
      <w:numFmt w:val="decimal"/>
      <w:lvlRestart w:val="2"/>
      <w:pStyle w:val="314"/>
      <w:lvlText w:val="%2.0.%9"/>
      <w:lvlJc w:val="left"/>
      <w:pPr>
        <w:tabs>
          <w:tab w:val="left" w:pos="720"/>
        </w:tabs>
        <w:ind w:left="0" w:firstLine="0"/>
      </w:pPr>
      <w:rPr>
        <w:rFonts w:hint="eastAsia" w:ascii="黑体" w:hAnsi="华文细黑" w:eastAsia="黑体"/>
        <w:b/>
        <w:i w:val="0"/>
        <w:sz w:val="21"/>
      </w:rPr>
    </w:lvl>
  </w:abstractNum>
  <w:abstractNum w:abstractNumId="25">
    <w:nsid w:val="76933334"/>
    <w:multiLevelType w:val="multilevel"/>
    <w:tmpl w:val="76933334"/>
    <w:lvl w:ilvl="0" w:tentative="0">
      <w:start w:val="1"/>
      <w:numFmt w:val="none"/>
      <w:pStyle w:val="285"/>
      <w:lvlText w:val="%1——"/>
      <w:lvlJc w:val="left"/>
      <w:pPr>
        <w:tabs>
          <w:tab w:val="left" w:pos="1140"/>
        </w:tabs>
        <w:ind w:left="84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2"/>
  </w:num>
  <w:num w:numId="13">
    <w:abstractNumId w:val="21"/>
  </w:num>
  <w:num w:numId="14">
    <w:abstractNumId w:val="15"/>
  </w:num>
  <w:num w:numId="15">
    <w:abstractNumId w:val="25"/>
  </w:num>
  <w:num w:numId="16">
    <w:abstractNumId w:val="12"/>
  </w:num>
  <w:num w:numId="17">
    <w:abstractNumId w:val="17"/>
  </w:num>
  <w:num w:numId="18">
    <w:abstractNumId w:val="20"/>
  </w:num>
  <w:num w:numId="19">
    <w:abstractNumId w:val="11"/>
  </w:num>
  <w:num w:numId="20">
    <w:abstractNumId w:val="19"/>
  </w:num>
  <w:num w:numId="21">
    <w:abstractNumId w:val="23"/>
  </w:num>
  <w:num w:numId="22">
    <w:abstractNumId w:val="10"/>
  </w:num>
  <w:num w:numId="23">
    <w:abstractNumId w:val="16"/>
  </w:num>
  <w:num w:numId="24">
    <w:abstractNumId w:val="18"/>
  </w:num>
  <w:num w:numId="25">
    <w:abstractNumId w:val="24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210"/>
  <w:evenAndOddHeaders w:val="1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8D213C"/>
    <w:rsid w:val="00006548"/>
    <w:rsid w:val="00027BD3"/>
    <w:rsid w:val="00036B39"/>
    <w:rsid w:val="000372EA"/>
    <w:rsid w:val="00040BBF"/>
    <w:rsid w:val="00053FB5"/>
    <w:rsid w:val="00075DD9"/>
    <w:rsid w:val="00076F59"/>
    <w:rsid w:val="000810CB"/>
    <w:rsid w:val="00083185"/>
    <w:rsid w:val="0009271F"/>
    <w:rsid w:val="0009648F"/>
    <w:rsid w:val="000A568D"/>
    <w:rsid w:val="000A6E5F"/>
    <w:rsid w:val="000B6ECB"/>
    <w:rsid w:val="000C21DC"/>
    <w:rsid w:val="000C2EFF"/>
    <w:rsid w:val="000D2D03"/>
    <w:rsid w:val="000E2B29"/>
    <w:rsid w:val="000E7B1D"/>
    <w:rsid w:val="00123BF9"/>
    <w:rsid w:val="00127602"/>
    <w:rsid w:val="00144633"/>
    <w:rsid w:val="001517CF"/>
    <w:rsid w:val="00164C6D"/>
    <w:rsid w:val="00170B1F"/>
    <w:rsid w:val="00172236"/>
    <w:rsid w:val="001748CC"/>
    <w:rsid w:val="0017737E"/>
    <w:rsid w:val="001830DE"/>
    <w:rsid w:val="001A5BF9"/>
    <w:rsid w:val="001C2054"/>
    <w:rsid w:val="001D5AA4"/>
    <w:rsid w:val="001D71BA"/>
    <w:rsid w:val="001F0E09"/>
    <w:rsid w:val="00216264"/>
    <w:rsid w:val="00227E52"/>
    <w:rsid w:val="002310FD"/>
    <w:rsid w:val="00235CB0"/>
    <w:rsid w:val="00247E6D"/>
    <w:rsid w:val="00267674"/>
    <w:rsid w:val="00277D91"/>
    <w:rsid w:val="00282FBE"/>
    <w:rsid w:val="00287FD8"/>
    <w:rsid w:val="002917C0"/>
    <w:rsid w:val="002A3BE2"/>
    <w:rsid w:val="002A4DD0"/>
    <w:rsid w:val="002A6B18"/>
    <w:rsid w:val="002C6C4A"/>
    <w:rsid w:val="002E08C1"/>
    <w:rsid w:val="002E5F3F"/>
    <w:rsid w:val="002F1862"/>
    <w:rsid w:val="00303CA5"/>
    <w:rsid w:val="00316CBA"/>
    <w:rsid w:val="00324802"/>
    <w:rsid w:val="00337CA1"/>
    <w:rsid w:val="00366B99"/>
    <w:rsid w:val="00397925"/>
    <w:rsid w:val="003A4F7B"/>
    <w:rsid w:val="003B65E2"/>
    <w:rsid w:val="003C5C82"/>
    <w:rsid w:val="003D636C"/>
    <w:rsid w:val="003E7CE2"/>
    <w:rsid w:val="003F2DA8"/>
    <w:rsid w:val="003F764E"/>
    <w:rsid w:val="00406CC1"/>
    <w:rsid w:val="0041207A"/>
    <w:rsid w:val="00436ECC"/>
    <w:rsid w:val="004414E6"/>
    <w:rsid w:val="00447DDB"/>
    <w:rsid w:val="004548A9"/>
    <w:rsid w:val="004619AC"/>
    <w:rsid w:val="00463A10"/>
    <w:rsid w:val="00466FF2"/>
    <w:rsid w:val="00467339"/>
    <w:rsid w:val="004826C9"/>
    <w:rsid w:val="0048668C"/>
    <w:rsid w:val="00490088"/>
    <w:rsid w:val="004A3243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62526"/>
    <w:rsid w:val="00573966"/>
    <w:rsid w:val="00573CAA"/>
    <w:rsid w:val="00596BBE"/>
    <w:rsid w:val="005A35D5"/>
    <w:rsid w:val="005A406C"/>
    <w:rsid w:val="005D5966"/>
    <w:rsid w:val="00601445"/>
    <w:rsid w:val="00611BD0"/>
    <w:rsid w:val="0061695B"/>
    <w:rsid w:val="00630366"/>
    <w:rsid w:val="00630EC5"/>
    <w:rsid w:val="0065094C"/>
    <w:rsid w:val="00674639"/>
    <w:rsid w:val="00681844"/>
    <w:rsid w:val="006A01D7"/>
    <w:rsid w:val="006A2E8B"/>
    <w:rsid w:val="006B643E"/>
    <w:rsid w:val="006D12A2"/>
    <w:rsid w:val="006D6D2B"/>
    <w:rsid w:val="006E740A"/>
    <w:rsid w:val="006E7E4F"/>
    <w:rsid w:val="006F1FF9"/>
    <w:rsid w:val="007064A5"/>
    <w:rsid w:val="00715BD0"/>
    <w:rsid w:val="00743CC7"/>
    <w:rsid w:val="0074732A"/>
    <w:rsid w:val="00767B2F"/>
    <w:rsid w:val="00773A5E"/>
    <w:rsid w:val="00776408"/>
    <w:rsid w:val="0078233D"/>
    <w:rsid w:val="007D2FAA"/>
    <w:rsid w:val="007E0206"/>
    <w:rsid w:val="007E3F4F"/>
    <w:rsid w:val="007F69B9"/>
    <w:rsid w:val="00811C33"/>
    <w:rsid w:val="00852FD6"/>
    <w:rsid w:val="0086798F"/>
    <w:rsid w:val="008708FD"/>
    <w:rsid w:val="008C0296"/>
    <w:rsid w:val="008C5347"/>
    <w:rsid w:val="008D2560"/>
    <w:rsid w:val="008D383F"/>
    <w:rsid w:val="008E1AE0"/>
    <w:rsid w:val="008E351F"/>
    <w:rsid w:val="00901DA3"/>
    <w:rsid w:val="009535DF"/>
    <w:rsid w:val="0095659D"/>
    <w:rsid w:val="009676B1"/>
    <w:rsid w:val="009721AF"/>
    <w:rsid w:val="00995610"/>
    <w:rsid w:val="009C0704"/>
    <w:rsid w:val="009D19E4"/>
    <w:rsid w:val="009F7CDF"/>
    <w:rsid w:val="00A329C9"/>
    <w:rsid w:val="00A342E2"/>
    <w:rsid w:val="00A35C5B"/>
    <w:rsid w:val="00A40CF5"/>
    <w:rsid w:val="00A470A7"/>
    <w:rsid w:val="00A473CC"/>
    <w:rsid w:val="00A832D8"/>
    <w:rsid w:val="00A87239"/>
    <w:rsid w:val="00A94542"/>
    <w:rsid w:val="00AA4903"/>
    <w:rsid w:val="00AA4BDA"/>
    <w:rsid w:val="00AB12B4"/>
    <w:rsid w:val="00AC06BB"/>
    <w:rsid w:val="00AC3ACC"/>
    <w:rsid w:val="00AD7ECC"/>
    <w:rsid w:val="00AE108D"/>
    <w:rsid w:val="00AE3FF9"/>
    <w:rsid w:val="00AF2B0D"/>
    <w:rsid w:val="00AF2DD6"/>
    <w:rsid w:val="00B01D8B"/>
    <w:rsid w:val="00B0338D"/>
    <w:rsid w:val="00B0682B"/>
    <w:rsid w:val="00B06F9F"/>
    <w:rsid w:val="00B13E76"/>
    <w:rsid w:val="00B23075"/>
    <w:rsid w:val="00B454CA"/>
    <w:rsid w:val="00B55871"/>
    <w:rsid w:val="00B565EB"/>
    <w:rsid w:val="00B614B1"/>
    <w:rsid w:val="00B74D02"/>
    <w:rsid w:val="00B807AF"/>
    <w:rsid w:val="00B90349"/>
    <w:rsid w:val="00BC6C4C"/>
    <w:rsid w:val="00BE027D"/>
    <w:rsid w:val="00BF3DB8"/>
    <w:rsid w:val="00BF533F"/>
    <w:rsid w:val="00C12F1C"/>
    <w:rsid w:val="00C22264"/>
    <w:rsid w:val="00C231D9"/>
    <w:rsid w:val="00C26FF1"/>
    <w:rsid w:val="00C7294C"/>
    <w:rsid w:val="00C7721B"/>
    <w:rsid w:val="00C80B64"/>
    <w:rsid w:val="00C825D9"/>
    <w:rsid w:val="00CA1496"/>
    <w:rsid w:val="00CA612B"/>
    <w:rsid w:val="00CB182F"/>
    <w:rsid w:val="00CC19EC"/>
    <w:rsid w:val="00CE0378"/>
    <w:rsid w:val="00CF740D"/>
    <w:rsid w:val="00D10F52"/>
    <w:rsid w:val="00D20260"/>
    <w:rsid w:val="00D32102"/>
    <w:rsid w:val="00D679FB"/>
    <w:rsid w:val="00D77681"/>
    <w:rsid w:val="00DC300E"/>
    <w:rsid w:val="00DC5920"/>
    <w:rsid w:val="00DE6C5C"/>
    <w:rsid w:val="00DE79D1"/>
    <w:rsid w:val="00DF3719"/>
    <w:rsid w:val="00E04DBB"/>
    <w:rsid w:val="00E05C6A"/>
    <w:rsid w:val="00E05E73"/>
    <w:rsid w:val="00E12E32"/>
    <w:rsid w:val="00E245C7"/>
    <w:rsid w:val="00E307EE"/>
    <w:rsid w:val="00E30917"/>
    <w:rsid w:val="00E33A22"/>
    <w:rsid w:val="00E376DF"/>
    <w:rsid w:val="00E558DE"/>
    <w:rsid w:val="00E638E4"/>
    <w:rsid w:val="00E73319"/>
    <w:rsid w:val="00E83142"/>
    <w:rsid w:val="00E87A23"/>
    <w:rsid w:val="00E96E93"/>
    <w:rsid w:val="00ED1474"/>
    <w:rsid w:val="00ED7098"/>
    <w:rsid w:val="00EE4858"/>
    <w:rsid w:val="00EE4A1A"/>
    <w:rsid w:val="00F17B6A"/>
    <w:rsid w:val="00F252F0"/>
    <w:rsid w:val="00F25CA4"/>
    <w:rsid w:val="00F66499"/>
    <w:rsid w:val="00F73EF2"/>
    <w:rsid w:val="00F8041E"/>
    <w:rsid w:val="00FD74B3"/>
    <w:rsid w:val="072D5F1F"/>
    <w:rsid w:val="0C8D213C"/>
    <w:rsid w:val="0CFD6CEB"/>
    <w:rsid w:val="0F8E5F0D"/>
    <w:rsid w:val="1161085C"/>
    <w:rsid w:val="134D5D64"/>
    <w:rsid w:val="14A53D82"/>
    <w:rsid w:val="19F70E3E"/>
    <w:rsid w:val="1E640D12"/>
    <w:rsid w:val="21627834"/>
    <w:rsid w:val="2BB942EE"/>
    <w:rsid w:val="2FFE363D"/>
    <w:rsid w:val="31613DE4"/>
    <w:rsid w:val="3B96257E"/>
    <w:rsid w:val="3E3361CD"/>
    <w:rsid w:val="402D0226"/>
    <w:rsid w:val="40685318"/>
    <w:rsid w:val="42F372D4"/>
    <w:rsid w:val="46A83AC2"/>
    <w:rsid w:val="46DC759A"/>
    <w:rsid w:val="52D563B3"/>
    <w:rsid w:val="591D1A17"/>
    <w:rsid w:val="5EF858D9"/>
    <w:rsid w:val="62243E80"/>
    <w:rsid w:val="64FE54B1"/>
    <w:rsid w:val="69FC54FF"/>
    <w:rsid w:val="6D8169A3"/>
    <w:rsid w:val="705D4CD3"/>
    <w:rsid w:val="71017443"/>
    <w:rsid w:val="715A610E"/>
    <w:rsid w:val="76D252D1"/>
    <w:rsid w:val="7BCD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nhideWhenUsed="0" w:uiPriority="0" w:name="toc 1"/>
    <w:lsdException w:qFormat="1" w:unhideWhenUsed="0" w:uiPriority="39" w:semiHidden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0" w:name="header"/>
    <w:lsdException w:qFormat="1" w:unhideWhenUsed="0" w:uiPriority="0" w:name="footer"/>
    <w:lsdException w:qFormat="1" w:uiPriority="99" w:name="index heading"/>
    <w:lsdException w:qFormat="1" w:unhideWhenUsed="0" w:uiPriority="0" w:semiHidden="0" w:name="caption"/>
    <w:lsdException w:qFormat="1" w:unhideWhenUsed="0" w:uiPriority="0" w:name="table of figures"/>
    <w:lsdException w:qFormat="1" w:uiPriority="99" w:name="envelope address"/>
    <w:lsdException w:qFormat="1" w:uiPriority="99" w:name="envelope return"/>
    <w:lsdException w:qFormat="1" w:unhideWhenUsed="0" w:uiPriority="0" w:name="footnote reference"/>
    <w:lsdException w:qFormat="1" w:uiPriority="99" w:name="annotation reference"/>
    <w:lsdException w:qFormat="1" w:uiPriority="99" w:name="line number"/>
    <w:lsdException w:qFormat="1" w:unhideWhenUsed="0" w:uiPriority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name="Balloon Text"/>
    <w:lsdException w:qFormat="1" w:unhideWhenUsed="0" w:uiPriority="59" w:semiHidden="0" w:name="Table Grid"/>
    <w:lsdException w:qFormat="1"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60"/>
    <w:semiHidden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4"/>
    <w:next w:val="1"/>
    <w:semiHidden/>
    <w:qFormat/>
    <w:uiPriority w:val="0"/>
    <w:pPr>
      <w:ind w:left="500" w:leftChars="500"/>
    </w:pPr>
  </w:style>
  <w:style w:type="paragraph" w:styleId="14">
    <w:name w:val="toc 6"/>
    <w:basedOn w:val="15"/>
    <w:next w:val="1"/>
    <w:semiHidden/>
    <w:qFormat/>
    <w:uiPriority w:val="0"/>
    <w:pPr>
      <w:ind w:left="400" w:leftChars="400"/>
    </w:pPr>
  </w:style>
  <w:style w:type="paragraph" w:styleId="15">
    <w:name w:val="toc 5"/>
    <w:basedOn w:val="16"/>
    <w:next w:val="1"/>
    <w:semiHidden/>
    <w:qFormat/>
    <w:uiPriority w:val="0"/>
    <w:pPr>
      <w:ind w:left="300" w:leftChars="300"/>
    </w:pPr>
  </w:style>
  <w:style w:type="paragraph" w:styleId="16">
    <w:name w:val="toc 4"/>
    <w:basedOn w:val="17"/>
    <w:next w:val="1"/>
    <w:semiHidden/>
    <w:qFormat/>
    <w:uiPriority w:val="0"/>
    <w:pPr>
      <w:ind w:left="200" w:leftChars="200"/>
    </w:pPr>
  </w:style>
  <w:style w:type="paragraph" w:styleId="17">
    <w:name w:val="toc 3"/>
    <w:basedOn w:val="18"/>
    <w:next w:val="1"/>
    <w:semiHidden/>
    <w:qFormat/>
    <w:uiPriority w:val="0"/>
    <w:pPr>
      <w:ind w:left="100" w:leftChars="100"/>
    </w:pPr>
  </w:style>
  <w:style w:type="paragraph" w:styleId="18">
    <w:name w:val="toc 2"/>
    <w:basedOn w:val="19"/>
    <w:next w:val="1"/>
    <w:qFormat/>
    <w:uiPriority w:val="39"/>
  </w:style>
  <w:style w:type="paragraph" w:styleId="19">
    <w:name w:val="toc 1"/>
    <w:next w:val="1"/>
    <w:semiHidden/>
    <w:qFormat/>
    <w:uiPriority w:val="0"/>
    <w:pPr>
      <w:spacing w:before="25" w:beforeLines="25" w:after="25" w:afterLines="25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0">
    <w:name w:val="List Number 2"/>
    <w:basedOn w:val="1"/>
    <w:semiHidden/>
    <w:unhideWhenUsed/>
    <w:qFormat/>
    <w:uiPriority w:val="99"/>
    <w:pPr>
      <w:numPr>
        <w:ilvl w:val="0"/>
        <w:numId w:val="1"/>
      </w:numPr>
      <w:contextualSpacing/>
    </w:pPr>
  </w:style>
  <w:style w:type="paragraph" w:styleId="21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22">
    <w:name w:val="Note Heading"/>
    <w:basedOn w:val="1"/>
    <w:next w:val="1"/>
    <w:link w:val="492"/>
    <w:semiHidden/>
    <w:unhideWhenUsed/>
    <w:qFormat/>
    <w:uiPriority w:val="99"/>
    <w:pPr>
      <w:jc w:val="center"/>
    </w:pPr>
  </w:style>
  <w:style w:type="paragraph" w:styleId="23">
    <w:name w:val="List Bullet 4"/>
    <w:basedOn w:val="1"/>
    <w:semiHidden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index 8"/>
    <w:basedOn w:val="1"/>
    <w:next w:val="1"/>
    <w:semiHidden/>
    <w:unhideWhenUsed/>
    <w:qFormat/>
    <w:uiPriority w:val="99"/>
    <w:pPr>
      <w:ind w:left="1400" w:leftChars="1400"/>
    </w:pPr>
  </w:style>
  <w:style w:type="paragraph" w:styleId="25">
    <w:name w:val="E-mail Signature"/>
    <w:basedOn w:val="1"/>
    <w:link w:val="358"/>
    <w:semiHidden/>
    <w:unhideWhenUsed/>
    <w:qFormat/>
    <w:uiPriority w:val="99"/>
  </w:style>
  <w:style w:type="paragraph" w:styleId="26">
    <w:name w:val="List Number"/>
    <w:basedOn w:val="1"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28">
    <w:name w:val="caption"/>
    <w:basedOn w:val="1"/>
    <w:next w:val="1"/>
    <w:qFormat/>
    <w:uiPriority w:val="0"/>
    <w:rPr>
      <w:rFonts w:ascii="宋体" w:hAnsi="Arial" w:cs="Arial"/>
      <w:szCs w:val="20"/>
    </w:rPr>
  </w:style>
  <w:style w:type="paragraph" w:styleId="29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30">
    <w:name w:val="List Bullet"/>
    <w:basedOn w:val="1"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envelope address"/>
    <w:basedOn w:val="1"/>
    <w:semiHidden/>
    <w:unhideWhenUsed/>
    <w:qFormat/>
    <w:uiPriority w:val="99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</w:rPr>
  </w:style>
  <w:style w:type="paragraph" w:styleId="32">
    <w:name w:val="Document Map"/>
    <w:basedOn w:val="1"/>
    <w:link w:val="474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33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cstheme="majorBidi"/>
      <w:sz w:val="24"/>
    </w:rPr>
  </w:style>
  <w:style w:type="paragraph" w:styleId="34">
    <w:name w:val="annotation text"/>
    <w:basedOn w:val="1"/>
    <w:link w:val="368"/>
    <w:semiHidden/>
    <w:unhideWhenUsed/>
    <w:qFormat/>
    <w:uiPriority w:val="99"/>
    <w:pPr>
      <w:jc w:val="left"/>
    </w:pPr>
  </w:style>
  <w:style w:type="paragraph" w:styleId="35">
    <w:name w:val="index 6"/>
    <w:basedOn w:val="1"/>
    <w:next w:val="1"/>
    <w:semiHidden/>
    <w:unhideWhenUsed/>
    <w:qFormat/>
    <w:uiPriority w:val="99"/>
    <w:pPr>
      <w:ind w:left="1000" w:leftChars="1000"/>
    </w:pPr>
  </w:style>
  <w:style w:type="paragraph" w:styleId="36">
    <w:name w:val="Salutation"/>
    <w:basedOn w:val="1"/>
    <w:next w:val="1"/>
    <w:link w:val="356"/>
    <w:semiHidden/>
    <w:unhideWhenUsed/>
    <w:qFormat/>
    <w:uiPriority w:val="99"/>
  </w:style>
  <w:style w:type="paragraph" w:styleId="37">
    <w:name w:val="Body Text 3"/>
    <w:basedOn w:val="1"/>
    <w:link w:val="48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8">
    <w:name w:val="Closing"/>
    <w:basedOn w:val="1"/>
    <w:link w:val="361"/>
    <w:semiHidden/>
    <w:unhideWhenUsed/>
    <w:qFormat/>
    <w:uiPriority w:val="99"/>
    <w:pPr>
      <w:ind w:left="100" w:leftChars="2100"/>
    </w:pPr>
  </w:style>
  <w:style w:type="paragraph" w:styleId="39">
    <w:name w:val="List Bullet 3"/>
    <w:basedOn w:val="1"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40">
    <w:name w:val="Body Text"/>
    <w:basedOn w:val="1"/>
    <w:link w:val="333"/>
    <w:semiHidden/>
    <w:unhideWhenUsed/>
    <w:qFormat/>
    <w:uiPriority w:val="99"/>
    <w:pPr>
      <w:spacing w:after="120"/>
    </w:pPr>
  </w:style>
  <w:style w:type="paragraph" w:styleId="41">
    <w:name w:val="Body Text Indent"/>
    <w:basedOn w:val="1"/>
    <w:link w:val="486"/>
    <w:semiHidden/>
    <w:unhideWhenUsed/>
    <w:qFormat/>
    <w:uiPriority w:val="99"/>
    <w:pPr>
      <w:spacing w:after="120"/>
      <w:ind w:left="420" w:leftChars="200"/>
    </w:pPr>
  </w:style>
  <w:style w:type="paragraph" w:styleId="42">
    <w:name w:val="List Number 3"/>
    <w:basedOn w:val="1"/>
    <w:semiHidden/>
    <w:unhideWhenUsed/>
    <w:qFormat/>
    <w:uiPriority w:val="99"/>
    <w:pPr>
      <w:numPr>
        <w:ilvl w:val="0"/>
        <w:numId w:val="6"/>
      </w:numPr>
      <w:contextualSpacing/>
    </w:pPr>
  </w:style>
  <w:style w:type="paragraph" w:styleId="43">
    <w:name w:val="List 2"/>
    <w:basedOn w:val="1"/>
    <w:semiHidden/>
    <w:unhideWhenUsed/>
    <w:qFormat/>
    <w:uiPriority w:val="99"/>
    <w:pPr>
      <w:ind w:left="100" w:leftChars="200" w:hanging="200" w:hangingChars="200"/>
      <w:contextualSpacing/>
    </w:pPr>
  </w:style>
  <w:style w:type="paragraph" w:styleId="44">
    <w:name w:val="List Continue"/>
    <w:basedOn w:val="1"/>
    <w:semiHidden/>
    <w:unhideWhenUsed/>
    <w:qFormat/>
    <w:uiPriority w:val="99"/>
    <w:pPr>
      <w:spacing w:after="120"/>
      <w:ind w:left="420" w:leftChars="200"/>
      <w:contextualSpacing/>
    </w:pPr>
  </w:style>
  <w:style w:type="paragraph" w:styleId="45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46">
    <w:name w:val="List Bullet 2"/>
    <w:basedOn w:val="1"/>
    <w:semiHidden/>
    <w:unhideWhenUsed/>
    <w:qFormat/>
    <w:uiPriority w:val="99"/>
    <w:pPr>
      <w:numPr>
        <w:ilvl w:val="0"/>
        <w:numId w:val="7"/>
      </w:numPr>
      <w:contextualSpacing/>
    </w:pPr>
  </w:style>
  <w:style w:type="paragraph" w:styleId="47">
    <w:name w:val="HTML Address"/>
    <w:basedOn w:val="1"/>
    <w:semiHidden/>
    <w:qFormat/>
    <w:uiPriority w:val="0"/>
    <w:rPr>
      <w:i/>
      <w:iCs/>
    </w:rPr>
  </w:style>
  <w:style w:type="paragraph" w:styleId="48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49">
    <w:name w:val="Plain Text"/>
    <w:basedOn w:val="1"/>
    <w:link w:val="357"/>
    <w:semiHidden/>
    <w:unhideWhenUsed/>
    <w:qFormat/>
    <w:uiPriority w:val="99"/>
    <w:rPr>
      <w:rFonts w:ascii="宋体" w:hAnsi="Courier New" w:cs="Courier New"/>
      <w:szCs w:val="21"/>
    </w:rPr>
  </w:style>
  <w:style w:type="paragraph" w:styleId="50">
    <w:name w:val="List Bullet 5"/>
    <w:basedOn w:val="1"/>
    <w:semiHidden/>
    <w:unhideWhenUsed/>
    <w:qFormat/>
    <w:uiPriority w:val="99"/>
    <w:pPr>
      <w:numPr>
        <w:ilvl w:val="0"/>
        <w:numId w:val="8"/>
      </w:numPr>
      <w:contextualSpacing/>
    </w:pPr>
  </w:style>
  <w:style w:type="paragraph" w:styleId="51">
    <w:name w:val="List Number 4"/>
    <w:basedOn w:val="1"/>
    <w:semiHidden/>
    <w:unhideWhenUsed/>
    <w:qFormat/>
    <w:uiPriority w:val="99"/>
    <w:pPr>
      <w:numPr>
        <w:ilvl w:val="0"/>
        <w:numId w:val="9"/>
      </w:numPr>
      <w:contextualSpacing/>
    </w:pPr>
  </w:style>
  <w:style w:type="paragraph" w:styleId="52">
    <w:name w:val="toc 8"/>
    <w:basedOn w:val="13"/>
    <w:next w:val="1"/>
    <w:semiHidden/>
    <w:qFormat/>
    <w:uiPriority w:val="0"/>
  </w:style>
  <w:style w:type="paragraph" w:styleId="53">
    <w:name w:val="index 3"/>
    <w:basedOn w:val="1"/>
    <w:next w:val="1"/>
    <w:semiHidden/>
    <w:unhideWhenUsed/>
    <w:qFormat/>
    <w:uiPriority w:val="99"/>
    <w:pPr>
      <w:ind w:left="400" w:leftChars="400"/>
    </w:pPr>
  </w:style>
  <w:style w:type="paragraph" w:styleId="54">
    <w:name w:val="Date"/>
    <w:basedOn w:val="1"/>
    <w:next w:val="1"/>
    <w:link w:val="420"/>
    <w:semiHidden/>
    <w:unhideWhenUsed/>
    <w:qFormat/>
    <w:uiPriority w:val="99"/>
    <w:pPr>
      <w:ind w:left="100" w:leftChars="2500"/>
    </w:pPr>
  </w:style>
  <w:style w:type="paragraph" w:styleId="55">
    <w:name w:val="Body Text Indent 2"/>
    <w:basedOn w:val="1"/>
    <w:link w:val="490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6">
    <w:name w:val="endnote text"/>
    <w:basedOn w:val="1"/>
    <w:link w:val="473"/>
    <w:semiHidden/>
    <w:unhideWhenUsed/>
    <w:qFormat/>
    <w:uiPriority w:val="99"/>
    <w:pPr>
      <w:snapToGrid w:val="0"/>
      <w:jc w:val="left"/>
    </w:pPr>
  </w:style>
  <w:style w:type="paragraph" w:styleId="57">
    <w:name w:val="List Continue 5"/>
    <w:basedOn w:val="1"/>
    <w:semiHidden/>
    <w:unhideWhenUsed/>
    <w:qFormat/>
    <w:uiPriority w:val="99"/>
    <w:pPr>
      <w:spacing w:after="120"/>
      <w:ind w:left="2100" w:leftChars="1000"/>
      <w:contextualSpacing/>
    </w:pPr>
  </w:style>
  <w:style w:type="paragraph" w:styleId="58">
    <w:name w:val="Balloon Text"/>
    <w:basedOn w:val="1"/>
    <w:link w:val="367"/>
    <w:semiHidden/>
    <w:unhideWhenUsed/>
    <w:qFormat/>
    <w:uiPriority w:val="99"/>
    <w:rPr>
      <w:sz w:val="18"/>
      <w:szCs w:val="18"/>
    </w:rPr>
  </w:style>
  <w:style w:type="paragraph" w:styleId="59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60">
    <w:name w:val="envelope return"/>
    <w:basedOn w:val="1"/>
    <w:semiHidden/>
    <w:unhideWhenUsed/>
    <w:qFormat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6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2">
    <w:name w:val="Signature"/>
    <w:basedOn w:val="1"/>
    <w:link w:val="370"/>
    <w:semiHidden/>
    <w:unhideWhenUsed/>
    <w:qFormat/>
    <w:uiPriority w:val="99"/>
    <w:pPr>
      <w:ind w:left="100" w:leftChars="2100"/>
    </w:pPr>
  </w:style>
  <w:style w:type="paragraph" w:styleId="63">
    <w:name w:val="List Continue 4"/>
    <w:basedOn w:val="1"/>
    <w:semiHidden/>
    <w:unhideWhenUsed/>
    <w:qFormat/>
    <w:uiPriority w:val="99"/>
    <w:pPr>
      <w:spacing w:after="120"/>
      <w:ind w:left="1680" w:leftChars="800"/>
      <w:contextualSpacing/>
    </w:pPr>
  </w:style>
  <w:style w:type="paragraph" w:styleId="64">
    <w:name w:val="index heading"/>
    <w:basedOn w:val="1"/>
    <w:next w:val="65"/>
    <w:semiHidden/>
    <w:unhideWhenUsed/>
    <w:qFormat/>
    <w:uiPriority w:val="99"/>
    <w:pPr>
      <w:spacing w:before="100" w:beforeLines="100" w:after="100" w:afterLines="100"/>
      <w:jc w:val="center"/>
    </w:pPr>
    <w:rPr>
      <w:rFonts w:eastAsia="黑体" w:asciiTheme="majorHAnsi" w:hAnsiTheme="majorHAnsi" w:cstheme="majorBidi"/>
      <w:bCs/>
    </w:rPr>
  </w:style>
  <w:style w:type="paragraph" w:styleId="65">
    <w:name w:val="index 1"/>
    <w:basedOn w:val="1"/>
    <w:next w:val="1"/>
    <w:semiHidden/>
    <w:unhideWhenUsed/>
    <w:qFormat/>
    <w:uiPriority w:val="99"/>
    <w:rPr>
      <w:rFonts w:ascii="宋体" w:hAnsi="宋体"/>
    </w:rPr>
  </w:style>
  <w:style w:type="paragraph" w:styleId="66">
    <w:name w:val="Subtitle"/>
    <w:basedOn w:val="1"/>
    <w:next w:val="1"/>
    <w:link w:val="359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7">
    <w:name w:val="List Number 5"/>
    <w:basedOn w:val="1"/>
    <w:semiHidden/>
    <w:unhideWhenUsed/>
    <w:qFormat/>
    <w:uiPriority w:val="99"/>
    <w:pPr>
      <w:numPr>
        <w:ilvl w:val="0"/>
        <w:numId w:val="10"/>
      </w:numPr>
      <w:contextualSpacing/>
    </w:pPr>
  </w:style>
  <w:style w:type="paragraph" w:styleId="68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69">
    <w:name w:val="footnote text"/>
    <w:basedOn w:val="1"/>
    <w:semiHidden/>
    <w:qFormat/>
    <w:uiPriority w:val="0"/>
    <w:pPr>
      <w:snapToGrid w:val="0"/>
      <w:ind w:left="400" w:leftChars="200" w:hanging="200" w:hangingChars="200"/>
      <w:jc w:val="left"/>
    </w:pPr>
    <w:rPr>
      <w:sz w:val="18"/>
      <w:szCs w:val="18"/>
    </w:rPr>
  </w:style>
  <w:style w:type="paragraph" w:styleId="70">
    <w:name w:val="List 5"/>
    <w:basedOn w:val="1"/>
    <w:semiHidden/>
    <w:unhideWhenUsed/>
    <w:qFormat/>
    <w:uiPriority w:val="99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491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2">
    <w:name w:val="index 7"/>
    <w:basedOn w:val="1"/>
    <w:next w:val="1"/>
    <w:semiHidden/>
    <w:unhideWhenUsed/>
    <w:qFormat/>
    <w:uiPriority w:val="99"/>
    <w:pPr>
      <w:ind w:left="1200" w:leftChars="1200"/>
    </w:pPr>
  </w:style>
  <w:style w:type="paragraph" w:styleId="73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74">
    <w:name w:val="table of figures"/>
    <w:basedOn w:val="1"/>
    <w:next w:val="1"/>
    <w:semiHidden/>
    <w:qFormat/>
    <w:uiPriority w:val="0"/>
  </w:style>
  <w:style w:type="paragraph" w:styleId="75">
    <w:name w:val="toc 9"/>
    <w:basedOn w:val="52"/>
    <w:next w:val="1"/>
    <w:semiHidden/>
    <w:qFormat/>
    <w:uiPriority w:val="0"/>
  </w:style>
  <w:style w:type="paragraph" w:styleId="76">
    <w:name w:val="Body Text 2"/>
    <w:basedOn w:val="1"/>
    <w:link w:val="488"/>
    <w:semiHidden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semiHidden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48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qFormat/>
    <w:uiPriority w:val="99"/>
    <w:rPr>
      <w:sz w:val="24"/>
    </w:rPr>
  </w:style>
  <w:style w:type="paragraph" w:styleId="82">
    <w:name w:val="List Continue 3"/>
    <w:basedOn w:val="1"/>
    <w:semiHidden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semiHidden/>
    <w:unhideWhenUsed/>
    <w:qFormat/>
    <w:uiPriority w:val="99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85">
    <w:name w:val="annotation subject"/>
    <w:basedOn w:val="34"/>
    <w:next w:val="34"/>
    <w:link w:val="369"/>
    <w:semiHidden/>
    <w:unhideWhenUsed/>
    <w:qFormat/>
    <w:uiPriority w:val="99"/>
    <w:rPr>
      <w:b/>
      <w:bCs/>
    </w:rPr>
  </w:style>
  <w:style w:type="paragraph" w:styleId="86">
    <w:name w:val="Body Text First Indent"/>
    <w:basedOn w:val="40"/>
    <w:link w:val="485"/>
    <w:semiHidden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41"/>
    <w:link w:val="487"/>
    <w:semiHidden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99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99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99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9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9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9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9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22"/>
    <w:rPr>
      <w:b/>
      <w:bCs/>
    </w:rPr>
  </w:style>
  <w:style w:type="character" w:styleId="233">
    <w:name w:val="endnote reference"/>
    <w:basedOn w:val="231"/>
    <w:semiHidden/>
    <w:unhideWhenUsed/>
    <w:qFormat/>
    <w:uiPriority w:val="99"/>
    <w:rPr>
      <w:vertAlign w:val="superscript"/>
    </w:rPr>
  </w:style>
  <w:style w:type="character" w:styleId="234">
    <w:name w:val="page number"/>
    <w:basedOn w:val="231"/>
    <w:semiHidden/>
    <w:qFormat/>
    <w:uiPriority w:val="0"/>
    <w:rPr>
      <w:rFonts w:ascii="Times New Roman" w:hAnsi="Times New Roman" w:eastAsia="宋体"/>
      <w:sz w:val="18"/>
    </w:rPr>
  </w:style>
  <w:style w:type="character" w:styleId="235">
    <w:name w:val="FollowedHyperlink"/>
    <w:basedOn w:val="23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20"/>
    <w:rPr>
      <w:i/>
      <w:iCs/>
    </w:rPr>
  </w:style>
  <w:style w:type="character" w:styleId="237">
    <w:name w:val="line number"/>
    <w:basedOn w:val="231"/>
    <w:semiHidden/>
    <w:unhideWhenUsed/>
    <w:qFormat/>
    <w:uiPriority w:val="99"/>
  </w:style>
  <w:style w:type="character" w:styleId="238">
    <w:name w:val="HTML Definition"/>
    <w:basedOn w:val="231"/>
    <w:semiHidden/>
    <w:qFormat/>
    <w:uiPriority w:val="0"/>
    <w:rPr>
      <w:i/>
      <w:iCs/>
    </w:rPr>
  </w:style>
  <w:style w:type="character" w:styleId="239">
    <w:name w:val="HTML Typewriter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0">
    <w:name w:val="HTML Acronym"/>
    <w:basedOn w:val="231"/>
    <w:semiHidden/>
    <w:qFormat/>
    <w:uiPriority w:val="0"/>
  </w:style>
  <w:style w:type="character" w:styleId="241">
    <w:name w:val="HTML Variable"/>
    <w:basedOn w:val="231"/>
    <w:semiHidden/>
    <w:qFormat/>
    <w:uiPriority w:val="0"/>
    <w:rPr>
      <w:i/>
      <w:iCs/>
    </w:rPr>
  </w:style>
  <w:style w:type="character" w:styleId="242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243">
    <w:name w:val="HTML Code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4">
    <w:name w:val="annotation reference"/>
    <w:basedOn w:val="231"/>
    <w:semiHidden/>
    <w:unhideWhenUsed/>
    <w:qFormat/>
    <w:uiPriority w:val="99"/>
    <w:rPr>
      <w:sz w:val="21"/>
      <w:szCs w:val="21"/>
    </w:rPr>
  </w:style>
  <w:style w:type="character" w:styleId="245">
    <w:name w:val="HTML Cite"/>
    <w:basedOn w:val="231"/>
    <w:semiHidden/>
    <w:qFormat/>
    <w:uiPriority w:val="0"/>
    <w:rPr>
      <w:i/>
      <w:iCs/>
    </w:rPr>
  </w:style>
  <w:style w:type="character" w:styleId="246">
    <w:name w:val="footnote reference"/>
    <w:basedOn w:val="231"/>
    <w:semiHidden/>
    <w:qFormat/>
    <w:uiPriority w:val="0"/>
    <w:rPr>
      <w:vertAlign w:val="superscript"/>
    </w:rPr>
  </w:style>
  <w:style w:type="character" w:styleId="247">
    <w:name w:val="HTML Keyboard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8">
    <w:name w:val="HTML Sample"/>
    <w:basedOn w:val="231"/>
    <w:semiHidden/>
    <w:qFormat/>
    <w:uiPriority w:val="0"/>
    <w:rPr>
      <w:rFonts w:ascii="Courier New" w:hAnsi="Courier New"/>
    </w:rPr>
  </w:style>
  <w:style w:type="paragraph" w:customStyle="1" w:styleId="249">
    <w:name w:val="标准标志H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250">
    <w:name w:val="标准称谓G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cs="Times New Roman" w:eastAsiaTheme="minorEastAsia"/>
      <w:b/>
      <w:bCs/>
      <w:w w:val="135"/>
      <w:sz w:val="52"/>
      <w:lang w:val="en-US" w:eastAsia="zh-CN" w:bidi="ar-SA"/>
    </w:rPr>
  </w:style>
  <w:style w:type="paragraph" w:customStyle="1" w:styleId="251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2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3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4">
    <w:name w:val="标准书眉_偶数页"/>
    <w:basedOn w:val="253"/>
    <w:next w:val="1"/>
    <w:qFormat/>
    <w:uiPriority w:val="0"/>
    <w:pPr>
      <w:jc w:val="left"/>
    </w:pPr>
  </w:style>
  <w:style w:type="paragraph" w:customStyle="1" w:styleId="255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6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57">
    <w:name w:val="参考文献、索引标题"/>
    <w:basedOn w:val="256"/>
    <w:next w:val="1"/>
    <w:qFormat/>
    <w:uiPriority w:val="0"/>
    <w:pPr>
      <w:spacing w:after="200"/>
    </w:pPr>
    <w:rPr>
      <w:sz w:val="21"/>
    </w:rPr>
  </w:style>
  <w:style w:type="paragraph" w:customStyle="1" w:styleId="258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章标题"/>
    <w:next w:val="258"/>
    <w:qFormat/>
    <w:uiPriority w:val="0"/>
    <w:pPr>
      <w:numPr>
        <w:ilvl w:val="0"/>
        <w:numId w:val="1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60">
    <w:name w:val="一级条标题"/>
    <w:next w:val="258"/>
    <w:qFormat/>
    <w:uiPriority w:val="0"/>
    <w:pPr>
      <w:numPr>
        <w:ilvl w:val="1"/>
        <w:numId w:val="11"/>
      </w:numPr>
      <w:spacing w:before="156" w:beforeLines="50" w:after="156" w:afterLines="50"/>
      <w:outlineLvl w:val="9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1">
    <w:name w:val="二级条标题"/>
    <w:basedOn w:val="260"/>
    <w:next w:val="258"/>
    <w:qFormat/>
    <w:uiPriority w:val="0"/>
    <w:pPr>
      <w:numPr>
        <w:ilvl w:val="2"/>
      </w:numPr>
      <w:spacing w:before="50" w:after="50"/>
      <w:outlineLvl w:val="9"/>
    </w:pPr>
  </w:style>
  <w:style w:type="character" w:customStyle="1" w:styleId="262">
    <w:name w:val="发布_1"/>
    <w:basedOn w:val="231"/>
    <w:qFormat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263">
    <w:name w:val="发布部门GB"/>
    <w:next w:val="258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264">
    <w:name w:val="发布日期"/>
    <w:qFormat/>
    <w:uiPriority w:val="0"/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65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66">
    <w:name w:val="封面标准号2"/>
    <w:basedOn w:val="265"/>
    <w:qFormat/>
    <w:uiPriority w:val="0"/>
    <w:pPr>
      <w:adjustRightInd w:val="0"/>
      <w:spacing w:before="357" w:line="280" w:lineRule="exact"/>
    </w:pPr>
  </w:style>
  <w:style w:type="paragraph" w:customStyle="1" w:styleId="267">
    <w:name w:val="封面标准代替信息"/>
    <w:basedOn w:val="266"/>
    <w:qFormat/>
    <w:uiPriority w:val="0"/>
    <w:pPr>
      <w:spacing w:before="0" w:line="360" w:lineRule="exact"/>
    </w:pPr>
    <w:rPr>
      <w:rFonts w:hAnsi="黑体"/>
      <w:sz w:val="21"/>
    </w:rPr>
  </w:style>
  <w:style w:type="paragraph" w:customStyle="1" w:styleId="268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69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0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71">
    <w:name w:val="封面标准英文名称"/>
    <w:qFormat/>
    <w:uiPriority w:val="0"/>
    <w:pPr>
      <w:widowControl w:val="0"/>
      <w:spacing w:before="330" w:line="400" w:lineRule="exact"/>
      <w:jc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72">
    <w:name w:val="封面一致性程度标识"/>
    <w:qFormat/>
    <w:uiPriority w:val="0"/>
    <w:pPr>
      <w:spacing w:before="680" w:line="400" w:lineRule="exact"/>
      <w:jc w:val="center"/>
    </w:pPr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7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74">
    <w:name w:val="附录标识"/>
    <w:basedOn w:val="1"/>
    <w:next w:val="1"/>
    <w:qFormat/>
    <w:uiPriority w:val="0"/>
    <w:pPr>
      <w:keepNext/>
      <w:widowControl/>
      <w:numPr>
        <w:ilvl w:val="0"/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75">
    <w:name w:val="附录表标题"/>
    <w:basedOn w:val="1"/>
    <w:next w:val="1"/>
    <w:qFormat/>
    <w:uiPriority w:val="0"/>
    <w:pPr>
      <w:numPr>
        <w:ilvl w:val="1"/>
        <w:numId w:val="13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76">
    <w:name w:val="附录章标题"/>
    <w:next w:val="258"/>
    <w:qFormat/>
    <w:uiPriority w:val="0"/>
    <w:pPr>
      <w:numPr>
        <w:ilvl w:val="1"/>
        <w:numId w:val="12"/>
      </w:numPr>
      <w:wordWrap w:val="0"/>
      <w:overflowPunct w:val="0"/>
      <w:autoSpaceDE w:val="0"/>
      <w:spacing w:before="50" w:beforeLines="50" w:after="50" w:afterLines="50"/>
      <w:jc w:val="both"/>
      <w:textAlignment w:val="baseline"/>
      <w:outlineLvl w:val="9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77">
    <w:name w:val="附录一级条标题"/>
    <w:basedOn w:val="276"/>
    <w:next w:val="258"/>
    <w:qFormat/>
    <w:uiPriority w:val="0"/>
    <w:pPr>
      <w:numPr>
        <w:ilvl w:val="2"/>
      </w:numPr>
      <w:autoSpaceDN w:val="0"/>
      <w:outlineLvl w:val="9"/>
    </w:pPr>
  </w:style>
  <w:style w:type="paragraph" w:customStyle="1" w:styleId="278">
    <w:name w:val="附录二级条标题"/>
    <w:basedOn w:val="1"/>
    <w:next w:val="258"/>
    <w:qFormat/>
    <w:uiPriority w:val="0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9"/>
    </w:pPr>
    <w:rPr>
      <w:rFonts w:ascii="黑体" w:eastAsia="黑体"/>
      <w:kern w:val="21"/>
      <w:szCs w:val="20"/>
    </w:rPr>
  </w:style>
  <w:style w:type="paragraph" w:customStyle="1" w:styleId="279">
    <w:name w:val="附录三级条标题"/>
    <w:basedOn w:val="278"/>
    <w:next w:val="258"/>
    <w:qFormat/>
    <w:uiPriority w:val="0"/>
    <w:pPr>
      <w:numPr>
        <w:ilvl w:val="4"/>
      </w:numPr>
      <w:outlineLvl w:val="9"/>
    </w:pPr>
  </w:style>
  <w:style w:type="paragraph" w:customStyle="1" w:styleId="280">
    <w:name w:val="附录四级条标题"/>
    <w:basedOn w:val="279"/>
    <w:next w:val="258"/>
    <w:qFormat/>
    <w:uiPriority w:val="0"/>
    <w:pPr>
      <w:numPr>
        <w:ilvl w:val="5"/>
      </w:numPr>
      <w:outlineLvl w:val="9"/>
    </w:pPr>
  </w:style>
  <w:style w:type="paragraph" w:customStyle="1" w:styleId="281">
    <w:name w:val="附录图标题"/>
    <w:basedOn w:val="1"/>
    <w:next w:val="1"/>
    <w:qFormat/>
    <w:uiPriority w:val="0"/>
    <w:pPr>
      <w:numPr>
        <w:ilvl w:val="1"/>
        <w:numId w:val="14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82">
    <w:name w:val="附录五级条标题"/>
    <w:basedOn w:val="280"/>
    <w:next w:val="258"/>
    <w:qFormat/>
    <w:uiPriority w:val="0"/>
    <w:pPr>
      <w:numPr>
        <w:ilvl w:val="6"/>
      </w:numPr>
      <w:outlineLvl w:val="6"/>
    </w:pPr>
  </w:style>
  <w:style w:type="character" w:customStyle="1" w:styleId="283">
    <w:name w:val="个人答复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character" w:customStyle="1" w:styleId="284">
    <w:name w:val="个人撰写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paragraph" w:customStyle="1" w:styleId="285">
    <w:name w:val="列项——"/>
    <w:qFormat/>
    <w:uiPriority w:val="0"/>
    <w:pPr>
      <w:widowControl w:val="0"/>
      <w:numPr>
        <w:ilvl w:val="0"/>
        <w:numId w:val="15"/>
      </w:numPr>
      <w:tabs>
        <w:tab w:val="left" w:pos="854"/>
        <w:tab w:val="clear" w:pos="11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6">
    <w:name w:val="目次、标准名称标题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287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8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289">
    <w:name w:val="其他发布部门"/>
    <w:basedOn w:val="263"/>
    <w:qFormat/>
    <w:uiPriority w:val="0"/>
    <w:pPr>
      <w:framePr w:wrap="around" w:vAnchor="margin" w:hAnchor="text" w:y="1"/>
      <w:spacing w:line="0" w:lineRule="atLeast"/>
    </w:pPr>
    <w:rPr>
      <w:rFonts w:ascii="黑体" w:eastAsia="黑体"/>
      <w:b w:val="0"/>
    </w:rPr>
  </w:style>
  <w:style w:type="paragraph" w:customStyle="1" w:styleId="290">
    <w:name w:val="三级条标题"/>
    <w:basedOn w:val="261"/>
    <w:next w:val="258"/>
    <w:qFormat/>
    <w:uiPriority w:val="0"/>
    <w:pPr>
      <w:numPr>
        <w:ilvl w:val="3"/>
      </w:numPr>
      <w:outlineLvl w:val="9"/>
    </w:pPr>
  </w:style>
  <w:style w:type="paragraph" w:customStyle="1" w:styleId="291">
    <w:name w:val="实施日期"/>
    <w:basedOn w:val="264"/>
    <w:qFormat/>
    <w:uiPriority w:val="0"/>
    <w:pPr>
      <w:jc w:val="right"/>
    </w:pPr>
  </w:style>
  <w:style w:type="paragraph" w:customStyle="1" w:styleId="292">
    <w:name w:val="示例"/>
    <w:next w:val="293"/>
    <w:qFormat/>
    <w:uiPriority w:val="0"/>
    <w:pPr>
      <w:widowControl w:val="0"/>
      <w:numPr>
        <w:ilvl w:val="0"/>
        <w:numId w:val="16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293">
    <w:name w:val="示例段"/>
    <w:basedOn w:val="258"/>
    <w:qFormat/>
    <w:uiPriority w:val="0"/>
    <w:pPr>
      <w:ind w:firstLine="420"/>
    </w:pPr>
    <w:rPr>
      <w:sz w:val="18"/>
    </w:rPr>
  </w:style>
  <w:style w:type="paragraph" w:customStyle="1" w:styleId="294">
    <w:name w:val="数字编号列项（二级）"/>
    <w:qFormat/>
    <w:uiPriority w:val="0"/>
    <w:pPr>
      <w:numPr>
        <w:ilvl w:val="1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95">
    <w:name w:val="四级条标题"/>
    <w:basedOn w:val="290"/>
    <w:next w:val="258"/>
    <w:qFormat/>
    <w:uiPriority w:val="0"/>
    <w:pPr>
      <w:numPr>
        <w:ilvl w:val="4"/>
      </w:numPr>
      <w:outlineLvl w:val="9"/>
    </w:pPr>
  </w:style>
  <w:style w:type="paragraph" w:customStyle="1" w:styleId="296">
    <w:name w:val="条文脚注"/>
    <w:basedOn w:val="69"/>
    <w:link w:val="332"/>
    <w:qFormat/>
    <w:uiPriority w:val="0"/>
    <w:pPr>
      <w:numPr>
        <w:ilvl w:val="0"/>
        <w:numId w:val="18"/>
      </w:numPr>
      <w:ind w:firstLine="0" w:firstLineChars="0"/>
      <w:jc w:val="both"/>
    </w:pPr>
    <w:rPr>
      <w:rFonts w:ascii="宋体"/>
    </w:rPr>
  </w:style>
  <w:style w:type="paragraph" w:customStyle="1" w:styleId="297">
    <w:name w:val="图表脚注"/>
    <w:next w:val="258"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98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99">
    <w:name w:val="无标题条"/>
    <w:next w:val="258"/>
    <w:qFormat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00">
    <w:name w:val="五级条标题"/>
    <w:basedOn w:val="295"/>
    <w:next w:val="258"/>
    <w:qFormat/>
    <w:uiPriority w:val="0"/>
    <w:pPr>
      <w:numPr>
        <w:ilvl w:val="5"/>
      </w:numPr>
      <w:outlineLvl w:val="9"/>
    </w:pPr>
  </w:style>
  <w:style w:type="paragraph" w:customStyle="1" w:styleId="301">
    <w:name w:val="正文表标题"/>
    <w:next w:val="258"/>
    <w:qFormat/>
    <w:uiPriority w:val="0"/>
    <w:pPr>
      <w:numPr>
        <w:ilvl w:val="1"/>
        <w:numId w:val="19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02">
    <w:name w:val="正文图标题"/>
    <w:basedOn w:val="301"/>
    <w:next w:val="258"/>
    <w:qFormat/>
    <w:uiPriority w:val="0"/>
    <w:pPr>
      <w:numPr>
        <w:ilvl w:val="0"/>
        <w:numId w:val="20"/>
      </w:numPr>
      <w:tabs>
        <w:tab w:val="clear" w:pos="360"/>
      </w:tabs>
    </w:pPr>
  </w:style>
  <w:style w:type="paragraph" w:customStyle="1" w:styleId="303">
    <w:name w:val="注："/>
    <w:next w:val="1"/>
    <w:qFormat/>
    <w:uiPriority w:val="0"/>
    <w:pPr>
      <w:widowControl w:val="0"/>
      <w:numPr>
        <w:ilvl w:val="0"/>
        <w:numId w:val="21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304">
    <w:name w:val="注×："/>
    <w:qFormat/>
    <w:uiPriority w:val="0"/>
    <w:pPr>
      <w:widowControl w:val="0"/>
      <w:numPr>
        <w:ilvl w:val="0"/>
        <w:numId w:val="22"/>
      </w:numPr>
      <w:autoSpaceDE w:val="0"/>
      <w:autoSpaceDN w:val="0"/>
      <w:jc w:val="both"/>
    </w:pPr>
    <w:rPr>
      <w:rFonts w:ascii="黑体" w:hAnsi="Times New Roman" w:cs="Times New Roman" w:eastAsiaTheme="minorEastAsia"/>
      <w:sz w:val="18"/>
      <w:szCs w:val="18"/>
      <w:lang w:val="en-US" w:eastAsia="zh-CN" w:bidi="ar-SA"/>
    </w:rPr>
  </w:style>
  <w:style w:type="paragraph" w:customStyle="1" w:styleId="305">
    <w:name w:val="字母编号列项（一级）"/>
    <w:qFormat/>
    <w:uiPriority w:val="0"/>
    <w:pPr>
      <w:numPr>
        <w:ilvl w:val="0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6">
    <w:name w:val="引言一级条标题"/>
    <w:basedOn w:val="1"/>
    <w:next w:val="258"/>
    <w:qFormat/>
    <w:uiPriority w:val="0"/>
    <w:pPr>
      <w:widowControl/>
      <w:numPr>
        <w:ilvl w:val="0"/>
        <w:numId w:val="23"/>
      </w:numPr>
      <w:tabs>
        <w:tab w:val="clear" w:pos="360"/>
      </w:tabs>
      <w:spacing w:before="50" w:beforeLines="50" w:after="50" w:afterLines="50"/>
    </w:pPr>
    <w:rPr>
      <w:rFonts w:eastAsia="黑体"/>
    </w:rPr>
  </w:style>
  <w:style w:type="paragraph" w:customStyle="1" w:styleId="307">
    <w:name w:val="示例×："/>
    <w:basedOn w:val="1"/>
    <w:next w:val="293"/>
    <w:qFormat/>
    <w:uiPriority w:val="0"/>
    <w:pPr>
      <w:widowControl/>
      <w:numPr>
        <w:ilvl w:val="0"/>
        <w:numId w:val="24"/>
      </w:numPr>
    </w:pPr>
    <w:rPr>
      <w:rFonts w:ascii="宋体"/>
      <w:kern w:val="0"/>
      <w:sz w:val="18"/>
      <w:szCs w:val="18"/>
    </w:rPr>
  </w:style>
  <w:style w:type="paragraph" w:customStyle="1" w:styleId="308">
    <w:name w:val="工程建设章标题"/>
    <w:next w:val="258"/>
    <w:qFormat/>
    <w:uiPriority w:val="0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hAnsi="Times New Roman" w:eastAsia="黑体" w:cs="Times New Roman"/>
      <w:b/>
      <w:sz w:val="28"/>
      <w:lang w:val="en-US" w:eastAsia="zh-CN" w:bidi="ar-SA"/>
    </w:rPr>
  </w:style>
  <w:style w:type="paragraph" w:customStyle="1" w:styleId="309">
    <w:name w:val="工程建设节标题"/>
    <w:basedOn w:val="308"/>
    <w:next w:val="258"/>
    <w:qFormat/>
    <w:uiPriority w:val="0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310">
    <w:name w:val="工程建设条标题"/>
    <w:basedOn w:val="309"/>
    <w:next w:val="258"/>
    <w:qFormat/>
    <w:uiPriority w:val="0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311">
    <w:name w:val="工程建设表标题"/>
    <w:basedOn w:val="310"/>
    <w:qFormat/>
    <w:uiPriority w:val="0"/>
    <w:pPr>
      <w:numPr>
        <w:ilvl w:val="4"/>
      </w:numPr>
      <w:jc w:val="center"/>
      <w:outlineLvl w:val="4"/>
    </w:pPr>
  </w:style>
  <w:style w:type="paragraph" w:customStyle="1" w:styleId="312">
    <w:name w:val="工程建设图标题"/>
    <w:basedOn w:val="310"/>
    <w:qFormat/>
    <w:uiPriority w:val="0"/>
    <w:pPr>
      <w:numPr>
        <w:ilvl w:val="5"/>
      </w:numPr>
      <w:jc w:val="center"/>
      <w:outlineLvl w:val="5"/>
    </w:pPr>
  </w:style>
  <w:style w:type="paragraph" w:customStyle="1" w:styleId="313">
    <w:name w:val="工程建设公式标题"/>
    <w:basedOn w:val="310"/>
    <w:qFormat/>
    <w:uiPriority w:val="0"/>
    <w:pPr>
      <w:numPr>
        <w:ilvl w:val="6"/>
      </w:numPr>
      <w:jc w:val="center"/>
      <w:outlineLvl w:val="6"/>
    </w:pPr>
  </w:style>
  <w:style w:type="paragraph" w:customStyle="1" w:styleId="314">
    <w:name w:val="工程建设无节条标题"/>
    <w:basedOn w:val="1"/>
    <w:next w:val="258"/>
    <w:qFormat/>
    <w:uiPriority w:val="0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315">
    <w:name w:val="工程建设款标题"/>
    <w:basedOn w:val="310"/>
    <w:qFormat/>
    <w:uiPriority w:val="0"/>
    <w:pPr>
      <w:numPr>
        <w:ilvl w:val="7"/>
      </w:numPr>
      <w:outlineLvl w:val="9"/>
    </w:pPr>
  </w:style>
  <w:style w:type="paragraph" w:customStyle="1" w:styleId="316">
    <w:name w:val="名称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317">
    <w:name w:val="正文表标题续表"/>
    <w:basedOn w:val="301"/>
    <w:next w:val="258"/>
    <w:qFormat/>
    <w:uiPriority w:val="0"/>
    <w:pPr>
      <w:numPr>
        <w:ilvl w:val="2"/>
      </w:numPr>
    </w:pPr>
  </w:style>
  <w:style w:type="paragraph" w:customStyle="1" w:styleId="318">
    <w:name w:val="附录表标题续表"/>
    <w:basedOn w:val="275"/>
    <w:next w:val="258"/>
    <w:qFormat/>
    <w:uiPriority w:val="0"/>
    <w:pPr>
      <w:numPr>
        <w:ilvl w:val="2"/>
      </w:numPr>
    </w:pPr>
  </w:style>
  <w:style w:type="paragraph" w:customStyle="1" w:styleId="319">
    <w:name w:val="术语定义二级条标题"/>
    <w:basedOn w:val="261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0">
    <w:name w:val="术语定义三级条标题"/>
    <w:basedOn w:val="29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1">
    <w:name w:val="式中"/>
    <w:qFormat/>
    <w:uiPriority w:val="0"/>
    <w:pPr>
      <w:ind w:left="200" w:left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2">
    <w:name w:val="术语定义四级条标题"/>
    <w:basedOn w:val="295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3">
    <w:name w:val="术语定义五级条标题"/>
    <w:basedOn w:val="30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4">
    <w:name w:val="术语定义一级条标题"/>
    <w:basedOn w:val="26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5">
    <w:name w:val="条文说明"/>
    <w:basedOn w:val="316"/>
    <w:qFormat/>
    <w:uiPriority w:val="0"/>
  </w:style>
  <w:style w:type="paragraph" w:customStyle="1" w:styleId="326">
    <w:name w:val="列项·"/>
    <w:qFormat/>
    <w:uiPriority w:val="0"/>
    <w:pPr>
      <w:numPr>
        <w:ilvl w:val="0"/>
        <w:numId w:val="26"/>
      </w:numPr>
      <w:tabs>
        <w:tab w:val="left" w:pos="8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7">
    <w:name w:val="二级无标题条"/>
    <w:basedOn w:val="261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8">
    <w:name w:val="三级无标题条"/>
    <w:basedOn w:val="29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9">
    <w:name w:val="四级无标题条"/>
    <w:basedOn w:val="295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0">
    <w:name w:val="五级无标题条"/>
    <w:basedOn w:val="30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1">
    <w:name w:val="一级无标题条"/>
    <w:basedOn w:val="26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character" w:customStyle="1" w:styleId="332">
    <w:name w:val="条文脚注 Char"/>
    <w:basedOn w:val="333"/>
    <w:link w:val="296"/>
    <w:qFormat/>
    <w:uiPriority w:val="0"/>
    <w:rPr>
      <w:rFonts w:ascii="宋体"/>
      <w:kern w:val="2"/>
      <w:sz w:val="18"/>
      <w:szCs w:val="18"/>
    </w:rPr>
  </w:style>
  <w:style w:type="character" w:customStyle="1" w:styleId="333">
    <w:name w:val="正文文本 Char"/>
    <w:basedOn w:val="231"/>
    <w:link w:val="40"/>
    <w:semiHidden/>
    <w:qFormat/>
    <w:uiPriority w:val="99"/>
    <w:rPr>
      <w:kern w:val="2"/>
      <w:sz w:val="21"/>
      <w:szCs w:val="24"/>
    </w:rPr>
  </w:style>
  <w:style w:type="paragraph" w:customStyle="1" w:styleId="334">
    <w:name w:val="ICS"/>
    <w:basedOn w:val="273"/>
    <w:qFormat/>
    <w:uiPriority w:val="0"/>
    <w:pPr>
      <w:jc w:val="left"/>
    </w:pPr>
    <w:rPr>
      <w:rFonts w:ascii="黑体" w:eastAsia="黑体"/>
      <w:sz w:val="21"/>
    </w:rPr>
  </w:style>
  <w:style w:type="paragraph" w:customStyle="1" w:styleId="335">
    <w:name w:val="标准称谓H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paragraph" w:customStyle="1" w:styleId="336">
    <w:name w:val="发布"/>
    <w:basedOn w:val="40"/>
    <w:qFormat/>
    <w:uiPriority w:val="0"/>
    <w:pPr>
      <w:spacing w:after="0" w:line="280" w:lineRule="exact"/>
      <w:ind w:left="567"/>
    </w:pPr>
    <w:rPr>
      <w:rFonts w:ascii="黑体" w:eastAsia="黑体"/>
      <w:sz w:val="28"/>
    </w:rPr>
  </w:style>
  <w:style w:type="paragraph" w:customStyle="1" w:styleId="337">
    <w:name w:val="标准称谓DB"/>
    <w:next w:val="1"/>
    <w:link w:val="338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character" w:customStyle="1" w:styleId="338">
    <w:name w:val="标准称谓DB Char"/>
    <w:basedOn w:val="231"/>
    <w:link w:val="337"/>
    <w:qFormat/>
    <w:uiPriority w:val="0"/>
    <w:rPr>
      <w:rFonts w:ascii="Britannic Bold" w:hAnsi="Britannic Bold" w:eastAsia="黑体"/>
      <w:bCs/>
      <w:w w:val="135"/>
      <w:sz w:val="44"/>
    </w:rPr>
  </w:style>
  <w:style w:type="paragraph" w:customStyle="1" w:styleId="339">
    <w:name w:val="标准称谓QB"/>
    <w:next w:val="1"/>
    <w:link w:val="340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hAnsi="Arial Black" w:eastAsia="黑体" w:cs="Times New Roman"/>
      <w:bCs/>
      <w:w w:val="135"/>
      <w:sz w:val="44"/>
      <w:lang w:val="en-US" w:eastAsia="zh-CN" w:bidi="ar-SA"/>
    </w:rPr>
  </w:style>
  <w:style w:type="character" w:customStyle="1" w:styleId="340">
    <w:name w:val="标准称谓QB Char"/>
    <w:basedOn w:val="231"/>
    <w:link w:val="339"/>
    <w:qFormat/>
    <w:uiPriority w:val="0"/>
    <w:rPr>
      <w:rFonts w:ascii="Arial Black" w:hAnsi="Arial Black" w:eastAsia="黑体"/>
      <w:bCs/>
      <w:w w:val="135"/>
      <w:sz w:val="44"/>
    </w:rPr>
  </w:style>
  <w:style w:type="paragraph" w:customStyle="1" w:styleId="341">
    <w:name w:val="发布部门H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2">
    <w:name w:val="发布部门D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3">
    <w:name w:val="发布部门Q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4">
    <w:name w:val="标准标志D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5">
    <w:name w:val="标准标志QB"/>
    <w:next w:val="1"/>
    <w:qFormat/>
    <w:uiPriority w:val="0"/>
    <w:pPr>
      <w:shd w:val="solid" w:color="FFFFFF" w:fill="FFFFFF"/>
      <w:spacing w:line="0" w:lineRule="atLeast"/>
      <w:jc w:val="right"/>
    </w:pPr>
    <w:rPr>
      <w:rFonts w:ascii="Arial Black" w:hAnsi="Britannic Bold" w:eastAsia="Arial Unicode MS" w:cs="Times New Roman"/>
      <w:b/>
      <w:w w:val="110"/>
      <w:kern w:val="2"/>
      <w:sz w:val="96"/>
      <w:lang w:val="en-US" w:eastAsia="zh-CN" w:bidi="ar-SA"/>
    </w:rPr>
  </w:style>
  <w:style w:type="paragraph" w:customStyle="1" w:styleId="346">
    <w:name w:val="标准标志G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7">
    <w:name w:val="引言二级条标题"/>
    <w:basedOn w:val="306"/>
    <w:next w:val="258"/>
    <w:qFormat/>
    <w:uiPriority w:val="0"/>
    <w:pPr>
      <w:numPr>
        <w:ilvl w:val="1"/>
      </w:numPr>
      <w:spacing w:before="156" w:after="156"/>
    </w:pPr>
    <w:rPr>
      <w:rFonts w:ascii="黑体"/>
    </w:rPr>
  </w:style>
  <w:style w:type="paragraph" w:customStyle="1" w:styleId="348">
    <w:name w:val="示例X"/>
    <w:basedOn w:val="293"/>
    <w:next w:val="258"/>
    <w:qFormat/>
    <w:uiPriority w:val="0"/>
  </w:style>
  <w:style w:type="paragraph" w:customStyle="1" w:styleId="349">
    <w:name w:val="附录表标号"/>
    <w:basedOn w:val="1"/>
    <w:next w:val="258"/>
    <w:qFormat/>
    <w:uiPriority w:val="0"/>
    <w:pPr>
      <w:numPr>
        <w:ilvl w:val="0"/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350">
    <w:name w:val="附录图标号"/>
    <w:basedOn w:val="1"/>
    <w:next w:val="258"/>
    <w:qFormat/>
    <w:uiPriority w:val="0"/>
    <w:pPr>
      <w:numPr>
        <w:ilvl w:val="0"/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351">
    <w:name w:val="重要提示"/>
    <w:basedOn w:val="258"/>
    <w:next w:val="258"/>
    <w:qFormat/>
    <w:uiPriority w:val="0"/>
    <w:rPr>
      <w:rFonts w:eastAsia="黑体"/>
    </w:rPr>
  </w:style>
  <w:style w:type="paragraph" w:customStyle="1" w:styleId="352">
    <w:name w:val="公式编号制表符"/>
    <w:basedOn w:val="1"/>
    <w:next w:val="1"/>
    <w:qFormat/>
    <w:uiPriority w:val="0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35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354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5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6">
    <w:name w:val="称呼 Char"/>
    <w:basedOn w:val="231"/>
    <w:link w:val="36"/>
    <w:semiHidden/>
    <w:qFormat/>
    <w:uiPriority w:val="99"/>
    <w:rPr>
      <w:kern w:val="2"/>
      <w:sz w:val="21"/>
      <w:szCs w:val="24"/>
    </w:rPr>
  </w:style>
  <w:style w:type="character" w:customStyle="1" w:styleId="357">
    <w:name w:val="纯文本 Char"/>
    <w:basedOn w:val="231"/>
    <w:link w:val="49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58">
    <w:name w:val="电子邮件签名 Char"/>
    <w:basedOn w:val="231"/>
    <w:link w:val="25"/>
    <w:semiHidden/>
    <w:qFormat/>
    <w:uiPriority w:val="99"/>
    <w:rPr>
      <w:kern w:val="2"/>
      <w:sz w:val="21"/>
      <w:szCs w:val="24"/>
    </w:rPr>
  </w:style>
  <w:style w:type="character" w:customStyle="1" w:styleId="359">
    <w:name w:val="副标题 Char"/>
    <w:basedOn w:val="231"/>
    <w:link w:val="66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60">
    <w:name w:val="宏文本 Char"/>
    <w:basedOn w:val="231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361">
    <w:name w:val="结束语 Char"/>
    <w:basedOn w:val="231"/>
    <w:link w:val="38"/>
    <w:semiHidden/>
    <w:qFormat/>
    <w:uiPriority w:val="99"/>
    <w:rPr>
      <w:kern w:val="2"/>
      <w:sz w:val="21"/>
      <w:szCs w:val="24"/>
    </w:rPr>
  </w:style>
  <w:style w:type="paragraph" w:styleId="362">
    <w:name w:val="List Paragraph"/>
    <w:basedOn w:val="1"/>
    <w:qFormat/>
    <w:uiPriority w:val="34"/>
    <w:pPr>
      <w:ind w:firstLine="420" w:firstLineChars="200"/>
    </w:pPr>
  </w:style>
  <w:style w:type="character" w:customStyle="1" w:styleId="363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364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65">
    <w:name w:val="Intense Quote"/>
    <w:basedOn w:val="1"/>
    <w:next w:val="1"/>
    <w:link w:val="366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66">
    <w:name w:val="明显引用 Char"/>
    <w:basedOn w:val="231"/>
    <w:link w:val="365"/>
    <w:qFormat/>
    <w:uiPriority w:val="30"/>
    <w:rPr>
      <w:i/>
      <w:iCs/>
      <w:color w:val="5B9BD5" w:themeColor="accent1"/>
      <w:kern w:val="2"/>
      <w:sz w:val="21"/>
      <w:szCs w:val="24"/>
      <w14:textFill>
        <w14:solidFill>
          <w14:schemeClr w14:val="accent1"/>
        </w14:solidFill>
      </w14:textFill>
    </w:rPr>
  </w:style>
  <w:style w:type="character" w:customStyle="1" w:styleId="367">
    <w:name w:val="批注框文本 Char"/>
    <w:basedOn w:val="231"/>
    <w:link w:val="58"/>
    <w:semiHidden/>
    <w:qFormat/>
    <w:uiPriority w:val="99"/>
    <w:rPr>
      <w:kern w:val="2"/>
      <w:sz w:val="18"/>
      <w:szCs w:val="18"/>
    </w:rPr>
  </w:style>
  <w:style w:type="character" w:customStyle="1" w:styleId="368">
    <w:name w:val="批注文字 Char"/>
    <w:basedOn w:val="231"/>
    <w:link w:val="34"/>
    <w:semiHidden/>
    <w:qFormat/>
    <w:uiPriority w:val="99"/>
    <w:rPr>
      <w:kern w:val="2"/>
      <w:sz w:val="21"/>
      <w:szCs w:val="24"/>
    </w:rPr>
  </w:style>
  <w:style w:type="character" w:customStyle="1" w:styleId="369">
    <w:name w:val="批注主题 Char"/>
    <w:basedOn w:val="368"/>
    <w:link w:val="85"/>
    <w:semiHidden/>
    <w:qFormat/>
    <w:uiPriority w:val="99"/>
    <w:rPr>
      <w:b/>
      <w:bCs/>
      <w:kern w:val="2"/>
      <w:sz w:val="21"/>
      <w:szCs w:val="24"/>
    </w:rPr>
  </w:style>
  <w:style w:type="character" w:customStyle="1" w:styleId="370">
    <w:name w:val="签名 Char"/>
    <w:basedOn w:val="231"/>
    <w:link w:val="62"/>
    <w:semiHidden/>
    <w:qFormat/>
    <w:uiPriority w:val="99"/>
    <w:rPr>
      <w:kern w:val="2"/>
      <w:sz w:val="21"/>
      <w:szCs w:val="24"/>
    </w:rPr>
  </w:style>
  <w:style w:type="table" w:customStyle="1" w:styleId="371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3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4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5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6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7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8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9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80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81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82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83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84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5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86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87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88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89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90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91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92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93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94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95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96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97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98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99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0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1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2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3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4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5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6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07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08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09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10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11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12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13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4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5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6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7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8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9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420">
    <w:name w:val="日期 Char"/>
    <w:basedOn w:val="231"/>
    <w:link w:val="54"/>
    <w:semiHidden/>
    <w:qFormat/>
    <w:uiPriority w:val="99"/>
    <w:rPr>
      <w:kern w:val="2"/>
      <w:sz w:val="21"/>
      <w:szCs w:val="24"/>
    </w:rPr>
  </w:style>
  <w:style w:type="character" w:customStyle="1" w:styleId="421">
    <w:name w:val="Book Title"/>
    <w:basedOn w:val="231"/>
    <w:qFormat/>
    <w:uiPriority w:val="33"/>
    <w:rPr>
      <w:b/>
      <w:bCs/>
      <w:i/>
      <w:iCs/>
      <w:spacing w:val="5"/>
    </w:rPr>
  </w:style>
  <w:style w:type="paragraph" w:customStyle="1" w:styleId="422">
    <w:name w:val="Bibliography"/>
    <w:basedOn w:val="1"/>
    <w:next w:val="1"/>
    <w:semiHidden/>
    <w:unhideWhenUsed/>
    <w:qFormat/>
    <w:uiPriority w:val="37"/>
  </w:style>
  <w:style w:type="table" w:customStyle="1" w:styleId="423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6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7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8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9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1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32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33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34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35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36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37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38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39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40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41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42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43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44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5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46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47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48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49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50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51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52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453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454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455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456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457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458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9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60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61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62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63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64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65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66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67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68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69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70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71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72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3">
    <w:name w:val="尾注文本 Char"/>
    <w:basedOn w:val="231"/>
    <w:link w:val="56"/>
    <w:semiHidden/>
    <w:qFormat/>
    <w:uiPriority w:val="99"/>
    <w:rPr>
      <w:kern w:val="2"/>
      <w:sz w:val="21"/>
      <w:szCs w:val="24"/>
    </w:rPr>
  </w:style>
  <w:style w:type="character" w:customStyle="1" w:styleId="474">
    <w:name w:val="文档结构图 Char"/>
    <w:basedOn w:val="231"/>
    <w:link w:val="32"/>
    <w:semiHidden/>
    <w:qFormat/>
    <w:uiPriority w:val="99"/>
    <w:rPr>
      <w:rFonts w:ascii="Microsoft YaHei UI" w:eastAsia="Microsoft YaHei UI"/>
      <w:kern w:val="2"/>
      <w:sz w:val="18"/>
      <w:szCs w:val="18"/>
    </w:rPr>
  </w:style>
  <w:style w:type="table" w:customStyle="1" w:styleId="475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6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77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478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9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48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81">
    <w:name w:val="信息标题 Char"/>
    <w:basedOn w:val="231"/>
    <w:link w:val="79"/>
    <w:semiHidden/>
    <w:qFormat/>
    <w:uiPriority w:val="99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482">
    <w:name w:val="Quote"/>
    <w:basedOn w:val="1"/>
    <w:next w:val="1"/>
    <w:link w:val="483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3">
    <w:name w:val="引用 Char"/>
    <w:basedOn w:val="231"/>
    <w:link w:val="482"/>
    <w:qFormat/>
    <w:uiPriority w:val="29"/>
    <w:rPr>
      <w:i/>
      <w:iCs/>
      <w:color w:val="404040" w:themeColor="text1" w:themeTint="BF"/>
      <w:kern w:val="2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484">
    <w:name w:val="Placeholder Text"/>
    <w:basedOn w:val="231"/>
    <w:semiHidden/>
    <w:qFormat/>
    <w:uiPriority w:val="99"/>
    <w:rPr>
      <w:color w:val="808080"/>
    </w:rPr>
  </w:style>
  <w:style w:type="character" w:customStyle="1" w:styleId="485">
    <w:name w:val="正文首行缩进 Char"/>
    <w:basedOn w:val="333"/>
    <w:link w:val="86"/>
    <w:semiHidden/>
    <w:qFormat/>
    <w:uiPriority w:val="99"/>
    <w:rPr>
      <w:kern w:val="2"/>
      <w:sz w:val="21"/>
      <w:szCs w:val="24"/>
    </w:rPr>
  </w:style>
  <w:style w:type="character" w:customStyle="1" w:styleId="486">
    <w:name w:val="正文文本缩进 Char"/>
    <w:basedOn w:val="231"/>
    <w:link w:val="41"/>
    <w:semiHidden/>
    <w:qFormat/>
    <w:uiPriority w:val="99"/>
    <w:rPr>
      <w:kern w:val="2"/>
      <w:sz w:val="21"/>
      <w:szCs w:val="24"/>
    </w:rPr>
  </w:style>
  <w:style w:type="character" w:customStyle="1" w:styleId="487">
    <w:name w:val="正文首行缩进 2 Char"/>
    <w:basedOn w:val="486"/>
    <w:link w:val="87"/>
    <w:semiHidden/>
    <w:qFormat/>
    <w:uiPriority w:val="99"/>
    <w:rPr>
      <w:kern w:val="2"/>
      <w:sz w:val="21"/>
      <w:szCs w:val="24"/>
    </w:rPr>
  </w:style>
  <w:style w:type="character" w:customStyle="1" w:styleId="488">
    <w:name w:val="正文文本 2 Char"/>
    <w:basedOn w:val="231"/>
    <w:link w:val="76"/>
    <w:semiHidden/>
    <w:qFormat/>
    <w:uiPriority w:val="99"/>
    <w:rPr>
      <w:kern w:val="2"/>
      <w:sz w:val="21"/>
      <w:szCs w:val="24"/>
    </w:rPr>
  </w:style>
  <w:style w:type="character" w:customStyle="1" w:styleId="489">
    <w:name w:val="正文文本 3 Char"/>
    <w:basedOn w:val="231"/>
    <w:link w:val="37"/>
    <w:semiHidden/>
    <w:qFormat/>
    <w:uiPriority w:val="99"/>
    <w:rPr>
      <w:kern w:val="2"/>
      <w:sz w:val="16"/>
      <w:szCs w:val="16"/>
    </w:rPr>
  </w:style>
  <w:style w:type="character" w:customStyle="1" w:styleId="490">
    <w:name w:val="正文文本缩进 2 Char"/>
    <w:basedOn w:val="231"/>
    <w:link w:val="55"/>
    <w:semiHidden/>
    <w:qFormat/>
    <w:uiPriority w:val="99"/>
    <w:rPr>
      <w:kern w:val="2"/>
      <w:sz w:val="21"/>
      <w:szCs w:val="24"/>
    </w:rPr>
  </w:style>
  <w:style w:type="character" w:customStyle="1" w:styleId="491">
    <w:name w:val="正文文本缩进 3 Char"/>
    <w:basedOn w:val="231"/>
    <w:link w:val="71"/>
    <w:semiHidden/>
    <w:qFormat/>
    <w:uiPriority w:val="99"/>
    <w:rPr>
      <w:kern w:val="2"/>
      <w:sz w:val="16"/>
      <w:szCs w:val="16"/>
    </w:rPr>
  </w:style>
  <w:style w:type="character" w:customStyle="1" w:styleId="492">
    <w:name w:val="注释标题 Char"/>
    <w:basedOn w:val="231"/>
    <w:link w:val="22"/>
    <w:semiHidden/>
    <w:qFormat/>
    <w:uiPriority w:val="99"/>
    <w:rPr>
      <w:kern w:val="2"/>
      <w:sz w:val="21"/>
      <w:szCs w:val="24"/>
    </w:rPr>
  </w:style>
  <w:style w:type="paragraph" w:customStyle="1" w:styleId="493">
    <w:name w:val="附录无标题章"/>
    <w:basedOn w:val="276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4">
    <w:name w:val="附录一级无标题条"/>
    <w:basedOn w:val="277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5">
    <w:name w:val="附录二级无标题条"/>
    <w:basedOn w:val="278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6">
    <w:name w:val="附录三级无标题条"/>
    <w:basedOn w:val="279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7">
    <w:name w:val="附录四级无标题条"/>
    <w:basedOn w:val="280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8">
    <w:name w:val="标准标志TB"/>
    <w:basedOn w:val="1"/>
    <w:qFormat/>
    <w:uiPriority w:val="0"/>
    <w:pPr>
      <w:widowControl/>
      <w:shd w:val="solid" w:color="FFFFFF" w:fill="FFFFFF"/>
      <w:spacing w:line="0" w:lineRule="atLeast"/>
      <w:jc w:val="right"/>
    </w:pPr>
    <w:rPr>
      <w:rFonts w:ascii="Times New Roman" w:hAnsi="Times New Roman" w:eastAsia="Arial Unicode MS"/>
      <w:b/>
      <w:w w:val="130"/>
      <w:sz w:val="96"/>
      <w:szCs w:val="20"/>
    </w:rPr>
  </w:style>
  <w:style w:type="paragraph" w:customStyle="1" w:styleId="499">
    <w:name w:val="标准称谓TB"/>
    <w:basedOn w:val="1"/>
    <w:qFormat/>
    <w:uiPriority w:val="0"/>
    <w:pPr>
      <w:kinsoku w:val="0"/>
      <w:overflowPunct w:val="0"/>
      <w:autoSpaceDE w:val="0"/>
      <w:autoSpaceDN w:val="0"/>
      <w:spacing w:line="0" w:lineRule="atLeast"/>
      <w:jc w:val="center"/>
    </w:pPr>
    <w:rPr>
      <w:rFonts w:ascii="Microsoft Sans Serif" w:hAnsi="Microsoft Sans Serif" w:eastAsia="黑体" w:cs="Microsoft Sans Serif"/>
      <w:bCs/>
      <w:spacing w:val="40"/>
      <w:w w:val="100"/>
      <w:kern w:val="0"/>
      <w:sz w:val="72"/>
      <w:szCs w:val="20"/>
    </w:rPr>
  </w:style>
  <w:style w:type="paragraph" w:customStyle="1" w:styleId="500">
    <w:name w:val="发布GB"/>
    <w:basedOn w:val="40"/>
    <w:qFormat/>
    <w:uiPriority w:val="0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501">
    <w:name w:val="发布DB"/>
    <w:basedOn w:val="500"/>
    <w:qFormat/>
    <w:uiPriority w:val="0"/>
    <w:pPr>
      <w:ind w:left="567"/>
    </w:pPr>
  </w:style>
  <w:style w:type="paragraph" w:customStyle="1" w:styleId="502">
    <w:name w:val="发布HB"/>
    <w:basedOn w:val="500"/>
    <w:qFormat/>
    <w:uiPriority w:val="0"/>
    <w:pPr>
      <w:ind w:left="567"/>
    </w:pPr>
  </w:style>
  <w:style w:type="paragraph" w:customStyle="1" w:styleId="503">
    <w:name w:val="发布QB"/>
    <w:basedOn w:val="500"/>
    <w:qFormat/>
    <w:uiPriority w:val="0"/>
    <w:pPr>
      <w:ind w:left="567"/>
    </w:pPr>
  </w:style>
  <w:style w:type="paragraph" w:customStyle="1" w:styleId="504">
    <w:name w:val="发布TB"/>
    <w:basedOn w:val="500"/>
    <w:qFormat/>
    <w:uiPriority w:val="0"/>
    <w:pPr>
      <w:ind w:left="567"/>
    </w:pPr>
  </w:style>
  <w:style w:type="paragraph" w:customStyle="1" w:styleId="505">
    <w:name w:val="发布部门TB"/>
    <w:basedOn w:val="1"/>
    <w:qFormat/>
    <w:uiPriority w:val="0"/>
    <w:pPr>
      <w:widowControl/>
      <w:spacing w:line="360" w:lineRule="exact"/>
      <w:jc w:val="center"/>
    </w:pPr>
    <w:rPr>
      <w:rFonts w:ascii="Microsoft Sans Serif" w:hAnsi="Microsoft Sans Serif" w:cs="Microsoft Sans Serif"/>
      <w:spacing w:val="20"/>
      <w:w w:val="135"/>
      <w:kern w:val="0"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&#26631;&#20934;&#32534;&#20889;WPS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C0D5CE-5E97-4EFC-922C-F3E8EF5D4E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Pages>1</Pages>
  <Words>110</Words>
  <Characters>110</Characters>
  <Lines>1</Lines>
  <Paragraphs>1</Paragraphs>
  <TotalTime>10</TotalTime>
  <ScaleCrop>false</ScaleCrop>
  <LinksUpToDate>false</LinksUpToDate>
  <CharactersWithSpaces>110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2020-12-23T08:24:00Z</dcterms:created>
  <dc:creator>泡沫</dc:creator>
  <cp:lastModifiedBy>泡沫</cp:lastModifiedBy>
  <cp:lastPrinted>2022-03-10T08:19:41Z</cp:lastPrinted>
  <dcterms:modified xsi:type="dcterms:W3CDTF">2022-03-10T08:21:10Z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 linkTarget="条文说明标记">
    <vt:lpwstr>无</vt:lpwstr>
  </property>
  <property fmtid="{D5CDD505-2E9C-101B-9397-08002B2CF9AE}" pid="3" name="文件标记" linkTarget="文件标记">
    <vt:lpwstr>蓝元软件</vt:lpwstr>
  </property>
  <property fmtid="{D5CDD505-2E9C-101B-9397-08002B2CF9AE}" pid="4" name="标准版本" linkTarget="标准版本">
    <vt:lpwstr>2020</vt:lpwstr>
  </property>
  <property fmtid="{D5CDD505-2E9C-101B-9397-08002B2CF9AE}" pid="5" name="ICS" linkTarget="ICS">
    <vt:lpwstr>65.020.20</vt:lpwstr>
  </property>
  <property fmtid="{D5CDD505-2E9C-101B-9397-08002B2CF9AE}" pid="6" name="CCS" linkTarget="CCS">
    <vt:lpwstr>B 05</vt:lpwstr>
  </property>
  <property fmtid="{D5CDD505-2E9C-101B-9397-08002B2CF9AE}" pid="7" name="BAH" linkTarget="BAH">
    <vt:lpwstr>备案号：</vt:lpwstr>
  </property>
  <property fmtid="{D5CDD505-2E9C-101B-9397-08002B2CF9AE}" pid="8" name="BT" linkTarget="BT">
    <vt:lpwstr>团    体    标    准</vt:lpwstr>
  </property>
  <property fmtid="{D5CDD505-2E9C-101B-9397-08002B2CF9AE}" pid="9" name="BZBH" linkTarget="BZBH">
    <vt:lpwstr>T/QHNX XXXX-2020</vt:lpwstr>
  </property>
  <property fmtid="{D5CDD505-2E9C-101B-9397-08002B2CF9AE}" pid="10" name="TDBH" linkTarget="TDBH">
    <vt:lpwstr/>
  </property>
  <property fmtid="{D5CDD505-2E9C-101B-9397-08002B2CF9AE}" pid="11" name="BZMC" linkTarget="BZMC">
    <vt:lpwstr>杂交油菜机械化良种繁育技术规程</vt:lpwstr>
  </property>
  <property fmtid="{D5CDD505-2E9C-101B-9397-08002B2CF9AE}" pid="12" name="YWMC" linkTarget="YWMC">
    <vt:lpwstr>英文名称</vt:lpwstr>
  </property>
  <property fmtid="{D5CDD505-2E9C-101B-9397-08002B2CF9AE}" pid="13" name="CBCD" linkTarget="CBCD">
    <vt:lpwstr>（与国际标准一致性程度的标识）</vt:lpwstr>
  </property>
  <property fmtid="{D5CDD505-2E9C-101B-9397-08002B2CF9AE}" pid="14" name="WGLB" linkTarget="WGLB">
    <vt:lpwstr>（送审稿）</vt:lpwstr>
  </property>
  <property fmtid="{D5CDD505-2E9C-101B-9397-08002B2CF9AE}" pid="15" name="FBRQ" linkTarget="FBRQ">
    <vt:lpwstr>20XX—XX—XX</vt:lpwstr>
  </property>
  <property fmtid="{D5CDD505-2E9C-101B-9397-08002B2CF9AE}" pid="16" name="SSRQ" linkTarget="SSRQ">
    <vt:lpwstr>20XX—XX—XX</vt:lpwstr>
  </property>
  <property fmtid="{D5CDD505-2E9C-101B-9397-08002B2CF9AE}" pid="17" name="BZLX" linkTarget="BZLX">
    <vt:lpwstr>T/QHNX</vt:lpwstr>
  </property>
  <property fmtid="{D5CDD505-2E9C-101B-9397-08002B2CF9AE}" pid="18" name="标准类型" linkTarget="标准类型">
    <vt:lpwstr>TB</vt:lpwstr>
  </property>
  <property fmtid="{D5CDD505-2E9C-101B-9397-08002B2CF9AE}" pid="19" name="FBDW" linkTarget="FBDW">
    <vt:lpwstr>青海省农学会</vt:lpwstr>
  </property>
  <property fmtid="{D5CDD505-2E9C-101B-9397-08002B2CF9AE}" pid="20" name="IMAGE" linkTarget="IMAGE">
    <vt:lpwstr/>
  </property>
  <property fmtid="{D5CDD505-2E9C-101B-9397-08002B2CF9AE}" pid="21" name="KSOProductBuildVer">
    <vt:lpwstr>2052-11.1.0.10577</vt:lpwstr>
  </property>
  <property fmtid="{D5CDD505-2E9C-101B-9397-08002B2CF9AE}" pid="22" name="ICV">
    <vt:lpwstr>8932213470034C5D81EAAF899F86BE84</vt:lpwstr>
  </property>
</Properties>
</file>