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44"/>
          <w:szCs w:val="44"/>
        </w:rPr>
      </w:pPr>
    </w:p>
    <w:p>
      <w:pPr>
        <w:jc w:val="center"/>
        <w:rPr>
          <w:rFonts w:hint="eastAsia" w:ascii="黑体" w:hAnsi="黑体" w:eastAsia="黑体"/>
          <w:sz w:val="44"/>
          <w:szCs w:val="44"/>
        </w:rPr>
      </w:pPr>
    </w:p>
    <w:p>
      <w:pPr>
        <w:ind w:firstLine="883" w:firstLineChars="200"/>
        <w:jc w:val="center"/>
        <w:rPr>
          <w:rFonts w:hint="eastAsia" w:ascii="方正小标宋简体" w:hAnsi="Times New Roman" w:eastAsia="方正小标宋简体" w:cs="Times New Roman"/>
          <w:b/>
          <w:bCs/>
          <w:sz w:val="44"/>
          <w:szCs w:val="44"/>
        </w:rPr>
      </w:pPr>
      <w:r>
        <w:rPr>
          <w:rFonts w:hint="eastAsia" w:ascii="方正小标宋简体" w:hAnsi="Times New Roman" w:eastAsia="方正小标宋简体" w:cs="Times New Roman"/>
          <w:b/>
          <w:bCs/>
          <w:sz w:val="44"/>
          <w:szCs w:val="44"/>
        </w:rPr>
        <w:t>《</w:t>
      </w:r>
      <w:r>
        <w:rPr>
          <w:rFonts w:hint="eastAsia" w:ascii="方正小标宋简体" w:hAnsi="Times New Roman" w:eastAsia="方正小标宋简体" w:cs="Times New Roman"/>
          <w:b/>
          <w:bCs/>
          <w:sz w:val="44"/>
          <w:szCs w:val="44"/>
          <w:lang w:eastAsia="zh-CN"/>
        </w:rPr>
        <w:t>当归产地初加工</w:t>
      </w:r>
      <w:r>
        <w:rPr>
          <w:rFonts w:hint="eastAsia" w:ascii="方正小标宋简体" w:eastAsia="方正小标宋简体" w:cs="Times New Roman"/>
          <w:b/>
          <w:bCs/>
          <w:sz w:val="44"/>
          <w:szCs w:val="44"/>
          <w:lang w:val="en-US" w:eastAsia="zh-CN"/>
        </w:rPr>
        <w:t>及分级</w:t>
      </w:r>
      <w:r>
        <w:rPr>
          <w:rFonts w:hint="eastAsia" w:ascii="方正小标宋简体" w:hAnsi="Times New Roman" w:eastAsia="方正小标宋简体" w:cs="Times New Roman"/>
          <w:b/>
          <w:bCs/>
          <w:sz w:val="44"/>
          <w:szCs w:val="44"/>
        </w:rPr>
        <w:t>》</w:t>
      </w:r>
    </w:p>
    <w:p>
      <w:pPr>
        <w:ind w:firstLine="883" w:firstLineChars="200"/>
        <w:jc w:val="center"/>
        <w:rPr>
          <w:rFonts w:hint="eastAsia" w:ascii="方正小标宋简体" w:hAnsi="Times New Roman" w:eastAsia="方正小标宋简体" w:cs="Times New Roman"/>
          <w:b/>
          <w:bCs/>
          <w:sz w:val="44"/>
          <w:szCs w:val="44"/>
        </w:rPr>
      </w:pPr>
      <w:r>
        <w:rPr>
          <w:rFonts w:hint="eastAsia" w:ascii="方正小标宋简体" w:hAnsi="Times New Roman" w:eastAsia="方正小标宋简体" w:cs="Times New Roman"/>
          <w:b/>
          <w:bCs/>
          <w:sz w:val="44"/>
          <w:szCs w:val="44"/>
        </w:rPr>
        <w:t>编制说明</w:t>
      </w:r>
    </w:p>
    <w:p>
      <w:pPr>
        <w:rPr>
          <w:rFonts w:hint="eastAsia" w:ascii="黑体" w:hAnsi="黑体" w:eastAsia="黑体"/>
          <w:sz w:val="44"/>
          <w:szCs w:val="44"/>
        </w:rPr>
      </w:pPr>
    </w:p>
    <w:p>
      <w:pPr>
        <w:rPr>
          <w:rFonts w:hint="default" w:ascii="黑体" w:hAnsi="黑体" w:eastAsia="黑体"/>
          <w:sz w:val="44"/>
          <w:szCs w:val="44"/>
          <w:lang w:val="en-US" w:eastAsia="zh-CN"/>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rPr>
          <w:rFonts w:hint="eastAsia" w:ascii="黑体" w:hAnsi="黑体" w:eastAsia="黑体"/>
          <w:sz w:val="44"/>
          <w:szCs w:val="44"/>
        </w:rPr>
      </w:pPr>
    </w:p>
    <w:p>
      <w:pPr>
        <w:ind w:firstLine="181" w:firstLineChars="50"/>
        <w:rPr>
          <w:rFonts w:hint="eastAsia" w:ascii="方正小标宋简体" w:eastAsia="方正小标宋简体"/>
          <w:b/>
          <w:sz w:val="36"/>
          <w:szCs w:val="36"/>
        </w:rPr>
      </w:pPr>
      <w:r>
        <w:rPr>
          <w:rFonts w:hint="eastAsia" w:ascii="方正小标宋简体" w:eastAsia="方正小标宋简体"/>
          <w:b/>
          <w:sz w:val="36"/>
          <w:szCs w:val="36"/>
        </w:rPr>
        <w:t>标 准 名 称：</w:t>
      </w:r>
      <w:r>
        <w:rPr>
          <w:rFonts w:hint="eastAsia" w:ascii="方正小标宋简体" w:eastAsia="方正小标宋简体"/>
          <w:b/>
          <w:sz w:val="36"/>
          <w:szCs w:val="36"/>
          <w:u w:val="single"/>
        </w:rPr>
        <w:t xml:space="preserve">  </w:t>
      </w:r>
      <w:r>
        <w:rPr>
          <w:rFonts w:hint="eastAsia" w:ascii="方正小标宋简体" w:eastAsia="方正小标宋简体"/>
          <w:b/>
          <w:sz w:val="36"/>
          <w:szCs w:val="36"/>
          <w:u w:val="single"/>
          <w:lang w:eastAsia="zh-CN"/>
        </w:rPr>
        <w:t>当归产地初加工</w:t>
      </w:r>
      <w:r>
        <w:rPr>
          <w:rFonts w:hint="eastAsia" w:ascii="方正小标宋简体" w:eastAsia="方正小标宋简体"/>
          <w:b/>
          <w:sz w:val="36"/>
          <w:szCs w:val="36"/>
          <w:u w:val="single"/>
          <w:lang w:val="en-US" w:eastAsia="zh-CN"/>
        </w:rPr>
        <w:t xml:space="preserve">及分级     </w:t>
      </w:r>
      <w:r>
        <w:rPr>
          <w:rFonts w:hint="eastAsia" w:ascii="方正小标宋简体" w:eastAsia="方正小标宋简体"/>
          <w:b/>
          <w:sz w:val="36"/>
          <w:szCs w:val="36"/>
          <w:lang w:val="en-US" w:eastAsia="zh-CN"/>
        </w:rPr>
        <w:t xml:space="preserve">        </w:t>
      </w:r>
      <w:r>
        <w:rPr>
          <w:rFonts w:hint="eastAsia" w:ascii="方正小标宋简体" w:eastAsia="方正小标宋简体"/>
          <w:b/>
          <w:sz w:val="36"/>
          <w:szCs w:val="36"/>
        </w:rPr>
        <w:t xml:space="preserve"> </w:t>
      </w:r>
    </w:p>
    <w:p>
      <w:pPr>
        <w:ind w:firstLine="181" w:firstLineChars="50"/>
        <w:rPr>
          <w:rFonts w:hint="eastAsia" w:ascii="方正小标宋简体" w:eastAsia="方正小标宋简体"/>
          <w:b/>
          <w:sz w:val="36"/>
          <w:szCs w:val="36"/>
          <w:lang w:val="en-US" w:eastAsia="zh-CN"/>
        </w:rPr>
      </w:pPr>
      <w:r>
        <w:rPr>
          <w:rFonts w:hint="eastAsia" w:ascii="方正小标宋简体" w:eastAsia="方正小标宋简体"/>
          <w:b/>
          <w:sz w:val="36"/>
          <w:szCs w:val="36"/>
          <w:lang w:val="en-US" w:eastAsia="zh-CN"/>
        </w:rPr>
        <w:t>项 目 编 号：</w:t>
      </w:r>
      <w:r>
        <w:rPr>
          <w:rFonts w:hint="eastAsia" w:ascii="方正小标宋简体" w:eastAsia="方正小标宋简体"/>
          <w:b/>
          <w:sz w:val="36"/>
          <w:szCs w:val="36"/>
          <w:u w:val="single"/>
          <w:lang w:val="en-US" w:eastAsia="zh-CN"/>
        </w:rPr>
        <w:t xml:space="preserve">    QHNX18-2020             </w:t>
      </w:r>
      <w:r>
        <w:rPr>
          <w:rFonts w:hint="eastAsia" w:ascii="方正小标宋简体" w:eastAsia="方正小标宋简体"/>
          <w:b/>
          <w:sz w:val="36"/>
          <w:szCs w:val="36"/>
          <w:lang w:val="en-US" w:eastAsia="zh-CN"/>
        </w:rPr>
        <w:t xml:space="preserve">                 </w:t>
      </w:r>
    </w:p>
    <w:p>
      <w:pPr>
        <w:ind w:firstLine="181" w:firstLineChars="50"/>
        <w:rPr>
          <w:rFonts w:hint="eastAsia" w:ascii="方正小标宋简体" w:eastAsia="方正小标宋简体"/>
          <w:b/>
          <w:sz w:val="36"/>
          <w:szCs w:val="36"/>
        </w:rPr>
      </w:pPr>
      <w:r>
        <w:rPr>
          <w:rFonts w:hint="eastAsia" w:ascii="方正小标宋简体" w:eastAsia="方正小标宋简体"/>
          <w:b/>
          <w:sz w:val="36"/>
          <w:szCs w:val="36"/>
        </w:rPr>
        <w:t>制、修订类型：</w:t>
      </w:r>
      <w:r>
        <w:rPr>
          <w:rFonts w:hint="eastAsia" w:ascii="方正小标宋简体" w:eastAsia="方正小标宋简体"/>
          <w:b/>
          <w:sz w:val="36"/>
          <w:szCs w:val="36"/>
          <w:u w:val="single"/>
        </w:rPr>
        <w:t xml:space="preserve">   </w:t>
      </w:r>
      <w:r>
        <w:rPr>
          <w:rFonts w:hint="eastAsia" w:ascii="方正小标宋简体" w:eastAsia="方正小标宋简体"/>
          <w:b/>
          <w:sz w:val="36"/>
          <w:szCs w:val="36"/>
          <w:u w:val="single"/>
          <w:lang w:val="en-US" w:eastAsia="zh-CN"/>
        </w:rPr>
        <w:t xml:space="preserve"> </w:t>
      </w:r>
      <w:r>
        <w:rPr>
          <w:rFonts w:hint="eastAsia" w:ascii="方正小标宋简体" w:eastAsia="方正小标宋简体"/>
          <w:b/>
          <w:sz w:val="36"/>
          <w:szCs w:val="36"/>
          <w:u w:val="single"/>
        </w:rPr>
        <w:t xml:space="preserve">制定               </w:t>
      </w:r>
      <w:r>
        <w:rPr>
          <w:rFonts w:hint="eastAsia" w:ascii="方正小标宋简体" w:eastAsia="方正小标宋简体"/>
          <w:b/>
          <w:sz w:val="36"/>
          <w:szCs w:val="36"/>
          <w:u w:val="single"/>
          <w:lang w:val="en-US" w:eastAsia="zh-CN"/>
        </w:rPr>
        <w:t xml:space="preserve">   </w:t>
      </w:r>
      <w:r>
        <w:rPr>
          <w:rFonts w:hint="eastAsia" w:ascii="方正小标宋简体" w:eastAsia="方正小标宋简体"/>
          <w:b/>
          <w:sz w:val="36"/>
          <w:szCs w:val="36"/>
          <w:lang w:val="en-US" w:eastAsia="zh-CN"/>
        </w:rPr>
        <w:t xml:space="preserve">       </w:t>
      </w:r>
      <w:r>
        <w:rPr>
          <w:rFonts w:hint="eastAsia" w:ascii="方正小标宋简体" w:eastAsia="方正小标宋简体"/>
          <w:b/>
          <w:sz w:val="36"/>
          <w:szCs w:val="36"/>
        </w:rPr>
        <w:t xml:space="preserve"> </w:t>
      </w:r>
    </w:p>
    <w:p>
      <w:pPr>
        <w:ind w:firstLine="181" w:firstLineChars="50"/>
        <w:rPr>
          <w:rFonts w:hint="eastAsia" w:ascii="方正小标宋简体" w:eastAsia="方正小标宋简体"/>
          <w:b/>
          <w:sz w:val="36"/>
          <w:szCs w:val="36"/>
        </w:rPr>
      </w:pPr>
      <w:r>
        <w:rPr>
          <w:rFonts w:hint="eastAsia" w:ascii="方正小标宋简体" w:eastAsia="方正小标宋简体"/>
          <w:b/>
          <w:sz w:val="36"/>
          <w:szCs w:val="36"/>
        </w:rPr>
        <w:t>主要起草单位：</w:t>
      </w:r>
      <w:r>
        <w:rPr>
          <w:rFonts w:hint="eastAsia" w:ascii="方正小标宋简体" w:eastAsia="方正小标宋简体"/>
          <w:b/>
          <w:sz w:val="36"/>
          <w:szCs w:val="36"/>
          <w:u w:val="single"/>
        </w:rPr>
        <w:t xml:space="preserve">  </w:t>
      </w:r>
      <w:r>
        <w:rPr>
          <w:rFonts w:hint="eastAsia" w:ascii="方正小标宋简体" w:eastAsia="方正小标宋简体"/>
          <w:b/>
          <w:sz w:val="36"/>
          <w:szCs w:val="36"/>
          <w:u w:val="single"/>
          <w:lang w:val="en-US" w:eastAsia="zh-CN"/>
        </w:rPr>
        <w:t xml:space="preserve"> </w:t>
      </w:r>
      <w:r>
        <w:rPr>
          <w:rFonts w:hint="eastAsia" w:ascii="方正小标宋简体" w:eastAsia="方正小标宋简体"/>
          <w:b/>
          <w:sz w:val="36"/>
          <w:szCs w:val="36"/>
          <w:u w:val="single"/>
        </w:rPr>
        <w:t>青海</w:t>
      </w:r>
      <w:r>
        <w:rPr>
          <w:rFonts w:hint="eastAsia" w:ascii="方正小标宋简体" w:eastAsia="方正小标宋简体"/>
          <w:b/>
          <w:sz w:val="36"/>
          <w:szCs w:val="36"/>
          <w:u w:val="single"/>
          <w:lang w:eastAsia="zh-CN"/>
        </w:rPr>
        <w:t>互丰农业科技集团有限公司</w:t>
      </w:r>
      <w:r>
        <w:rPr>
          <w:rFonts w:hint="eastAsia" w:ascii="方正小标宋简体" w:eastAsia="方正小标宋简体"/>
          <w:b/>
          <w:sz w:val="36"/>
          <w:szCs w:val="36"/>
        </w:rPr>
        <w:t xml:space="preserve"> </w:t>
      </w:r>
      <w:r>
        <w:rPr>
          <w:rFonts w:hint="eastAsia" w:ascii="方正小标宋简体" w:eastAsia="方正小标宋简体"/>
          <w:b/>
          <w:sz w:val="36"/>
          <w:szCs w:val="36"/>
          <w:lang w:val="en-US" w:eastAsia="zh-CN"/>
        </w:rPr>
        <w:t xml:space="preserve">    </w:t>
      </w:r>
      <w:r>
        <w:rPr>
          <w:rFonts w:hint="eastAsia" w:ascii="方正小标宋简体" w:eastAsia="方正小标宋简体"/>
          <w:b/>
          <w:sz w:val="36"/>
          <w:szCs w:val="36"/>
        </w:rPr>
        <w:t xml:space="preserve">        </w:t>
      </w:r>
    </w:p>
    <w:p>
      <w:pPr>
        <w:ind w:firstLine="181" w:firstLineChars="50"/>
        <w:rPr>
          <w:rFonts w:hint="eastAsia" w:ascii="方正小标宋简体" w:eastAsia="方正小标宋简体"/>
          <w:b/>
          <w:sz w:val="36"/>
          <w:szCs w:val="36"/>
        </w:rPr>
      </w:pPr>
      <w:r>
        <w:rPr>
          <w:rFonts w:hint="eastAsia" w:ascii="方正小标宋简体" w:eastAsia="方正小标宋简体"/>
          <w:b/>
          <w:sz w:val="36"/>
          <w:szCs w:val="36"/>
        </w:rPr>
        <w:t>归 口 单 位：</w:t>
      </w:r>
      <w:r>
        <w:rPr>
          <w:rFonts w:hint="eastAsia" w:ascii="方正小标宋简体" w:eastAsia="方正小标宋简体"/>
          <w:b/>
          <w:sz w:val="36"/>
          <w:szCs w:val="36"/>
          <w:u w:val="single"/>
        </w:rPr>
        <w:t xml:space="preserve">   </w:t>
      </w:r>
      <w:r>
        <w:rPr>
          <w:rFonts w:hint="eastAsia" w:ascii="方正小标宋简体" w:eastAsia="方正小标宋简体"/>
          <w:b/>
          <w:sz w:val="36"/>
          <w:szCs w:val="36"/>
          <w:u w:val="single"/>
          <w:lang w:val="en-US" w:eastAsia="zh-CN"/>
        </w:rPr>
        <w:t xml:space="preserve">  </w:t>
      </w:r>
      <w:r>
        <w:rPr>
          <w:rFonts w:hint="eastAsia" w:ascii="方正小标宋简体" w:eastAsia="方正小标宋简体"/>
          <w:b/>
          <w:sz w:val="36"/>
          <w:szCs w:val="36"/>
          <w:u w:val="single"/>
        </w:rPr>
        <w:t xml:space="preserve">青海省农学会          </w:t>
      </w:r>
      <w:r>
        <w:rPr>
          <w:rFonts w:hint="eastAsia" w:ascii="方正小标宋简体" w:eastAsia="方正小标宋简体"/>
          <w:b/>
          <w:sz w:val="36"/>
          <w:szCs w:val="36"/>
          <w:lang w:val="en-US" w:eastAsia="zh-CN"/>
        </w:rPr>
        <w:t xml:space="preserve">           </w:t>
      </w:r>
    </w:p>
    <w:p>
      <w:pPr>
        <w:ind w:firstLine="181" w:firstLineChars="50"/>
        <w:rPr>
          <w:rFonts w:hint="eastAsia" w:ascii="宋体" w:hAnsi="宋体" w:eastAsia="宋体" w:cs="宋体"/>
          <w:bCs/>
          <w:sz w:val="32"/>
          <w:szCs w:val="32"/>
          <w:u w:val="single"/>
          <w:lang w:val="en-US"/>
        </w:rPr>
      </w:pPr>
      <w:r>
        <w:rPr>
          <w:rFonts w:hint="eastAsia" w:ascii="方正小标宋简体" w:eastAsia="方正小标宋简体"/>
          <w:b/>
          <w:sz w:val="36"/>
          <w:szCs w:val="36"/>
        </w:rPr>
        <w:t>起草时间：</w:t>
      </w:r>
      <w:r>
        <w:rPr>
          <w:rFonts w:hint="eastAsia" w:ascii="方正小标宋简体" w:eastAsia="方正小标宋简体"/>
          <w:b/>
          <w:sz w:val="36"/>
          <w:szCs w:val="36"/>
          <w:u w:val="single"/>
        </w:rPr>
        <w:t xml:space="preserve">     2019年1</w:t>
      </w:r>
      <w:r>
        <w:rPr>
          <w:rFonts w:hint="eastAsia" w:ascii="方正小标宋简体" w:eastAsia="方正小标宋简体"/>
          <w:b/>
          <w:sz w:val="36"/>
          <w:szCs w:val="36"/>
          <w:u w:val="single"/>
          <w:lang w:val="en-US" w:eastAsia="zh-CN"/>
        </w:rPr>
        <w:t>1</w:t>
      </w:r>
      <w:r>
        <w:rPr>
          <w:rFonts w:hint="eastAsia" w:ascii="方正小标宋简体" w:eastAsia="方正小标宋简体"/>
          <w:b/>
          <w:sz w:val="36"/>
          <w:szCs w:val="36"/>
          <w:u w:val="single"/>
        </w:rPr>
        <w:t>月-- 2020年</w:t>
      </w:r>
      <w:r>
        <w:rPr>
          <w:rFonts w:hint="eastAsia" w:ascii="方正小标宋简体" w:eastAsia="方正小标宋简体"/>
          <w:b/>
          <w:sz w:val="36"/>
          <w:szCs w:val="36"/>
          <w:u w:val="single"/>
          <w:lang w:val="en-US" w:eastAsia="zh-CN"/>
        </w:rPr>
        <w:t>11</w:t>
      </w:r>
      <w:r>
        <w:rPr>
          <w:rFonts w:hint="eastAsia" w:ascii="方正小标宋简体" w:eastAsia="方正小标宋简体"/>
          <w:b/>
          <w:sz w:val="36"/>
          <w:szCs w:val="36"/>
          <w:u w:val="single"/>
        </w:rPr>
        <w:t xml:space="preserve">月  </w:t>
      </w:r>
      <w:r>
        <w:rPr>
          <w:rFonts w:hint="eastAsia" w:ascii="方正小标宋简体" w:eastAsia="方正小标宋简体"/>
          <w:b/>
          <w:sz w:val="36"/>
          <w:szCs w:val="36"/>
        </w:rPr>
        <w:t xml:space="preserve">  </w:t>
      </w:r>
      <w:r>
        <w:rPr>
          <w:rFonts w:hint="eastAsia" w:ascii="方正小标宋简体" w:eastAsia="方正小标宋简体"/>
          <w:b/>
          <w:sz w:val="36"/>
          <w:szCs w:val="36"/>
          <w:lang w:val="en-US" w:eastAsia="zh-CN"/>
        </w:rPr>
        <w:t xml:space="preserve">     </w:t>
      </w:r>
    </w:p>
    <w:p/>
    <w:p/>
    <w:p/>
    <w:p/>
    <w:p/>
    <w:p/>
    <w:p/>
    <w:p/>
    <w:p/>
    <w:p/>
    <w:p>
      <w:pPr>
        <w:pStyle w:val="7"/>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工作简况</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hAnsi="Times New Roman"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（一）</w:t>
      </w:r>
      <w:r>
        <w:rPr>
          <w:rFonts w:hint="eastAsia" w:ascii="楷体_GB2312" w:hAnsi="Times New Roman" w:eastAsia="楷体_GB2312" w:cs="Times New Roman"/>
          <w:kern w:val="2"/>
          <w:sz w:val="32"/>
          <w:szCs w:val="32"/>
          <w:lang w:val="en-US" w:eastAsia="zh-CN" w:bidi="ar-SA"/>
        </w:rPr>
        <w:t>任务来源及说明</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kern w:val="2"/>
          <w:sz w:val="32"/>
          <w:szCs w:val="32"/>
          <w:lang w:val="en-US" w:eastAsia="zh-CN" w:bidi="ar-SA"/>
        </w:rPr>
        <w:t>2020年9月30日，由青海互丰农业科技集团有限公司申请团体标准的立项，根据青海省农学会下达的《关于下达2020年第二批团体标准项目计划的通知》（青农字[2020]7号），批准《青海省当归产地初加工技术规程》团体标准的制定。</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（二）起草单位、协作单位</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起草单位：</w:t>
      </w:r>
      <w:r>
        <w:rPr>
          <w:rFonts w:hint="eastAsia" w:ascii="仿宋" w:hAnsi="仿宋" w:eastAsia="仿宋" w:cs="仿宋"/>
          <w:sz w:val="32"/>
          <w:szCs w:val="32"/>
          <w:lang w:eastAsia="zh-CN"/>
        </w:rPr>
        <w:t>青海省互丰农业科技集团有限公司</w:t>
      </w:r>
    </w:p>
    <w:p>
      <w:pPr>
        <w:rPr>
          <w:rFonts w:hint="eastAsia" w:ascii="仿宋" w:hAnsi="仿宋" w:eastAsia="仿宋" w:cs="仿宋"/>
          <w:sz w:val="32"/>
          <w:szCs w:val="32"/>
          <w:lang w:val="en-US" w:eastAsia="zh-CN"/>
        </w:rPr>
      </w:pPr>
      <w:r>
        <w:rPr>
          <w:rFonts w:hint="eastAsia" w:ascii="仿宋" w:hAnsi="仿宋" w:eastAsia="仿宋" w:cs="仿宋"/>
          <w:sz w:val="32"/>
          <w:szCs w:val="32"/>
        </w:rPr>
        <w:t>协作单位</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青海互丰农业科技集团有限公司、青海省农作物种子站、互助县国家高原特色现代农业示范园区、青海省农业项目指导服务中心、互助县农产品质量检测中心。</w:t>
      </w:r>
    </w:p>
    <w:p>
      <w:pPr>
        <w:numPr>
          <w:ilvl w:val="0"/>
          <w:numId w:val="3"/>
        </w:numPr>
        <w:rPr>
          <w:rFonts w:hint="eastAsia" w:ascii="楷体_GB2312" w:eastAsia="楷体_GB2312" w:cs="Times New Roman"/>
          <w:color w:val="auto"/>
          <w:kern w:val="2"/>
          <w:sz w:val="32"/>
          <w:szCs w:val="32"/>
          <w:lang w:val="en-US" w:eastAsia="zh-CN" w:bidi="ar-SA"/>
        </w:rPr>
      </w:pPr>
      <w:r>
        <w:rPr>
          <w:rFonts w:hint="eastAsia" w:ascii="楷体_GB2312" w:eastAsia="楷体_GB2312" w:cs="Times New Roman"/>
          <w:color w:val="auto"/>
          <w:kern w:val="2"/>
          <w:sz w:val="32"/>
          <w:szCs w:val="32"/>
          <w:lang w:val="en-US" w:eastAsia="zh-CN" w:bidi="ar-SA"/>
        </w:rPr>
        <w:t>主要起草人</w:t>
      </w:r>
    </w:p>
    <w:p>
      <w:pPr>
        <w:numPr>
          <w:ilvl w:val="0"/>
          <w:numId w:val="0"/>
        </w:num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  标准起草人信息表</w:t>
      </w:r>
    </w:p>
    <w:tbl>
      <w:tblPr>
        <w:tblStyle w:val="5"/>
        <w:tblW w:w="4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0"/>
        <w:gridCol w:w="767"/>
        <w:gridCol w:w="1381"/>
        <w:gridCol w:w="2221"/>
        <w:gridCol w:w="2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姓名</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性别</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职务/职称</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工作单位</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贺子腾</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助理农艺师</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青海互丰农业科技集团有限公司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蔡有华</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女</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推广研究员</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负责标准制定工作组织与协调、标准修改、完善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eastAsia="zh-CN"/>
              </w:rPr>
              <w:t>贺连珍</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女</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助理农艺师</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韩文婷</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高级农艺师</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青海省农作为种子站</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标准起草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李长满</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助理农艺师</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eastAsia="zh-CN"/>
              </w:rPr>
              <w:t>董起德</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经理</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市场调研、技术研究、标准起草制定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柳雄</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助力农艺师</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青海省农作为种子站</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标准起草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eastAsia="zh-CN"/>
              </w:rPr>
              <w:t>胡生隆</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经理</w:t>
            </w:r>
          </w:p>
        </w:tc>
        <w:tc>
          <w:tcPr>
            <w:tcW w:w="1338" w:type="pct"/>
            <w:noWrap w:val="0"/>
            <w:vAlign w:val="center"/>
          </w:tcPr>
          <w:p>
            <w:pPr>
              <w:numPr>
                <w:ilvl w:val="0"/>
                <w:numId w:val="0"/>
              </w:numPr>
              <w:spacing w:line="240" w:lineRule="auto"/>
              <w:ind w:right="-483" w:rightChars="-23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团有限公司</w:t>
            </w:r>
          </w:p>
        </w:tc>
        <w:tc>
          <w:tcPr>
            <w:tcW w:w="1678"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贺生平</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经理</w:t>
            </w:r>
          </w:p>
        </w:tc>
        <w:tc>
          <w:tcPr>
            <w:tcW w:w="1338" w:type="pct"/>
            <w:noWrap w:val="0"/>
            <w:vAlign w:val="center"/>
          </w:tcPr>
          <w:p>
            <w:pPr>
              <w:numPr>
                <w:ilvl w:val="0"/>
                <w:numId w:val="0"/>
              </w:numPr>
              <w:spacing w:line="240" w:lineRule="auto"/>
              <w:ind w:right="-483" w:rightChars="-23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市场调研、技术示范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严文善</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经理</w:t>
            </w:r>
          </w:p>
        </w:tc>
        <w:tc>
          <w:tcPr>
            <w:tcW w:w="1338" w:type="pct"/>
            <w:noWrap w:val="0"/>
            <w:vAlign w:val="center"/>
          </w:tcPr>
          <w:p>
            <w:pPr>
              <w:numPr>
                <w:ilvl w:val="0"/>
                <w:numId w:val="0"/>
              </w:numPr>
              <w:spacing w:line="240" w:lineRule="auto"/>
              <w:ind w:right="-483" w:rightChars="-23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市场调研、技术示范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哈学才</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技术员</w:t>
            </w:r>
          </w:p>
        </w:tc>
        <w:tc>
          <w:tcPr>
            <w:tcW w:w="1338" w:type="pct"/>
            <w:noWrap w:val="0"/>
            <w:vAlign w:val="center"/>
          </w:tcPr>
          <w:p>
            <w:pPr>
              <w:numPr>
                <w:ilvl w:val="0"/>
                <w:numId w:val="0"/>
              </w:numPr>
              <w:spacing w:line="240" w:lineRule="auto"/>
              <w:ind w:right="-483" w:rightChars="-23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市场调研、技术示范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郭守伟</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农艺师</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互助县国家高原特色现代农业示范园区</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市场调研、技术示范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席田花</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女</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技术员</w:t>
            </w:r>
          </w:p>
        </w:tc>
        <w:tc>
          <w:tcPr>
            <w:tcW w:w="1338" w:type="pct"/>
            <w:noWrap w:val="0"/>
            <w:vAlign w:val="center"/>
          </w:tcPr>
          <w:p>
            <w:pPr>
              <w:numPr>
                <w:ilvl w:val="0"/>
                <w:numId w:val="0"/>
              </w:numPr>
              <w:spacing w:line="240" w:lineRule="auto"/>
              <w:ind w:right="-483" w:rightChars="-23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团有限公司</w:t>
            </w:r>
          </w:p>
        </w:tc>
        <w:tc>
          <w:tcPr>
            <w:tcW w:w="1678"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资料采集、标准、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温玉存</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女</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技术员</w:t>
            </w:r>
          </w:p>
        </w:tc>
        <w:tc>
          <w:tcPr>
            <w:tcW w:w="1338" w:type="pct"/>
            <w:noWrap w:val="0"/>
            <w:vAlign w:val="center"/>
          </w:tcPr>
          <w:p>
            <w:pPr>
              <w:numPr>
                <w:ilvl w:val="0"/>
                <w:numId w:val="0"/>
              </w:numPr>
              <w:spacing w:line="240" w:lineRule="auto"/>
              <w:ind w:right="-483" w:rightChars="-23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团有限公司</w:t>
            </w:r>
          </w:p>
        </w:tc>
        <w:tc>
          <w:tcPr>
            <w:tcW w:w="1678"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资料采集、标准、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张印臣</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338" w:type="pct"/>
            <w:noWrap w:val="0"/>
            <w:vAlign w:val="center"/>
          </w:tcPr>
          <w:p>
            <w:pPr>
              <w:numPr>
                <w:ilvl w:val="0"/>
                <w:numId w:val="0"/>
              </w:numPr>
              <w:spacing w:line="240" w:lineRule="auto"/>
              <w:ind w:right="-483" w:rightChars="-23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市场调研、技术示范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李鹏德</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技术员</w:t>
            </w:r>
          </w:p>
        </w:tc>
        <w:tc>
          <w:tcPr>
            <w:tcW w:w="1338" w:type="pct"/>
            <w:noWrap w:val="0"/>
            <w:vAlign w:val="center"/>
          </w:tcPr>
          <w:p>
            <w:pPr>
              <w:numPr>
                <w:ilvl w:val="0"/>
                <w:numId w:val="0"/>
              </w:numPr>
              <w:spacing w:line="240" w:lineRule="auto"/>
              <w:ind w:right="-483" w:rightChars="-23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w:t>
            </w:r>
          </w:p>
          <w:p>
            <w:pPr>
              <w:numPr>
                <w:ilvl w:val="0"/>
                <w:numId w:val="0"/>
              </w:numPr>
              <w:spacing w:line="240" w:lineRule="auto"/>
              <w:ind w:left="0" w:leftChars="0" w:right="-483" w:rightChars="-230" w:firstLine="480" w:firstLineChars="200"/>
              <w:jc w:val="both"/>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团有限公司</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市场调研、技术示范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刘海棠</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高级农经师</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vertAlign w:val="baseline"/>
                <w:lang w:val="en-US" w:eastAsia="zh-CN" w:bidi="ar-SA"/>
              </w:rPr>
              <w:t>青海省农业项目指导服务中心</w:t>
            </w:r>
          </w:p>
        </w:tc>
        <w:tc>
          <w:tcPr>
            <w:tcW w:w="167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市场调研分析、技术示范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87"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朵学玲</w:t>
            </w:r>
          </w:p>
        </w:tc>
        <w:tc>
          <w:tcPr>
            <w:tcW w:w="4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83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农艺师</w:t>
            </w:r>
          </w:p>
        </w:tc>
        <w:tc>
          <w:tcPr>
            <w:tcW w:w="13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highlight w:val="none"/>
                <w:lang w:val="en-US" w:eastAsia="zh-CN"/>
              </w:rPr>
              <w:t>互助县农产品质量安全监测中心</w:t>
            </w:r>
          </w:p>
        </w:tc>
        <w:tc>
          <w:tcPr>
            <w:tcW w:w="1678"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完善</w:t>
            </w:r>
          </w:p>
        </w:tc>
      </w:tr>
    </w:tbl>
    <w:p>
      <w:pPr>
        <w:pStyle w:val="7"/>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制定（修订）标准的必要性和意义</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40" w:firstLineChars="200"/>
        <w:jc w:val="lef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中药材加工是指在中医药理论指导下，对作为中药材来源的植物、动物、矿物（除人工制成品及鲜 品）进行采收、加工处理的技术。又称中药材初加工或产地加工,早期称之为“采造”“采治”“采药”“收采”“采取”,现代一般称之为“采制”、“采集”、“加工”。随着中药产业的快速发展，人工栽培已成为解决中药资源短缺的主要途径，但由于中药材种植基地分散、集约化程度低、养护与仓储管理及运输的不科学，容易影响药材的品质。中药材及饮片的质量直接关系到中医临床疗效，在影响中药材质量的诸多因素中，产地初加工技术是源头因素,且是形成中药材品质的关键，它决定了中药材、中药饮片及制剂的质量。中药产业链的发展离不开集约化、规范化的产地初加工技术。中药材在产地完成采收之后，只有极少数可以直接应用，绝大多数的中药材都需要践行产地的初加工，否则中药材的质量以及药效会受到严重的影响。然而，由于中药材的特点，中药材的贮藏过程中容易出现虫蛀、霉变、气味散失、自行结块、粘结等现象，且中药材种类复杂，不易于管理，传统的中药养护与仓储方式消耗大量的劳动力，优质中药材得率低下，以现代科学技术建立中药材标准化仓储运输管理系统具有必要性。中药材从田间生产到临床使用的全过程质量保障体系中，产地加工和仓储管理是中药材生产初期的关键环节，应予以足够重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当归（</w:t>
      </w:r>
      <w:r>
        <w:rPr>
          <w:rFonts w:hint="eastAsia" w:ascii="仿宋" w:hAnsi="仿宋" w:eastAsia="仿宋" w:cs="仿宋"/>
          <w:i/>
          <w:iCs/>
          <w:kern w:val="2"/>
          <w:sz w:val="32"/>
          <w:szCs w:val="32"/>
          <w:lang w:val="en-US" w:eastAsia="zh-CN" w:bidi="ar-SA"/>
        </w:rPr>
        <w:t>Angelica sinensis，</w:t>
      </w:r>
      <w:r>
        <w:rPr>
          <w:rFonts w:hint="eastAsia" w:ascii="仿宋" w:hAnsi="仿宋" w:eastAsia="仿宋" w:cs="仿宋"/>
          <w:kern w:val="2"/>
          <w:sz w:val="32"/>
          <w:szCs w:val="32"/>
          <w:lang w:val="en-US" w:eastAsia="zh-CN" w:bidi="ar-SA"/>
        </w:rPr>
        <w:t>）中国1957年从</w:t>
      </w:r>
      <w:r>
        <w:rPr>
          <w:rFonts w:hint="eastAsia" w:ascii="仿宋" w:hAnsi="仿宋" w:eastAsia="仿宋" w:cs="仿宋"/>
          <w:kern w:val="2"/>
          <w:sz w:val="32"/>
          <w:szCs w:val="32"/>
          <w:lang w:val="en-US" w:eastAsia="zh-CN" w:bidi="ar-SA"/>
        </w:rPr>
        <w:fldChar w:fldCharType="begin"/>
      </w:r>
      <w:r>
        <w:rPr>
          <w:rFonts w:hint="eastAsia" w:ascii="仿宋" w:hAnsi="仿宋" w:eastAsia="仿宋" w:cs="仿宋"/>
          <w:kern w:val="2"/>
          <w:sz w:val="32"/>
          <w:szCs w:val="32"/>
          <w:lang w:val="en-US" w:eastAsia="zh-CN" w:bidi="ar-SA"/>
        </w:rPr>
        <w:instrText xml:space="preserve"> HYPERLINK "https://baike.so.com/doc/3840102-4032232.html" \t "https://baike.so.com/doc/_blank" </w:instrText>
      </w:r>
      <w:r>
        <w:rPr>
          <w:rFonts w:hint="eastAsia" w:ascii="仿宋" w:hAnsi="仿宋" w:eastAsia="仿宋" w:cs="仿宋"/>
          <w:kern w:val="2"/>
          <w:sz w:val="32"/>
          <w:szCs w:val="32"/>
          <w:lang w:val="en-US" w:eastAsia="zh-CN" w:bidi="ar-SA"/>
        </w:rPr>
        <w:fldChar w:fldCharType="separate"/>
      </w:r>
      <w:r>
        <w:rPr>
          <w:rFonts w:hint="eastAsia" w:ascii="仿宋" w:hAnsi="仿宋" w:eastAsia="仿宋" w:cs="仿宋"/>
          <w:kern w:val="2"/>
          <w:sz w:val="32"/>
          <w:szCs w:val="32"/>
          <w:lang w:val="en-US" w:eastAsia="zh-CN" w:bidi="ar-SA"/>
        </w:rPr>
        <w:t>欧洲</w:t>
      </w:r>
      <w:r>
        <w:rPr>
          <w:rFonts w:hint="eastAsia" w:ascii="仿宋" w:hAnsi="仿宋" w:eastAsia="仿宋" w:cs="仿宋"/>
          <w:kern w:val="2"/>
          <w:sz w:val="32"/>
          <w:szCs w:val="32"/>
          <w:lang w:val="en-US" w:eastAsia="zh-CN" w:bidi="ar-SA"/>
        </w:rPr>
        <w:fldChar w:fldCharType="end"/>
      </w:r>
      <w:r>
        <w:rPr>
          <w:rFonts w:hint="eastAsia" w:ascii="仿宋" w:hAnsi="仿宋" w:eastAsia="仿宋" w:cs="仿宋"/>
          <w:kern w:val="2"/>
          <w:sz w:val="32"/>
          <w:szCs w:val="32"/>
          <w:lang w:val="en-US" w:eastAsia="zh-CN" w:bidi="ar-SA"/>
        </w:rPr>
        <w:t xml:space="preserve">引种欧当归。主产甘肃东南部，以岷县产量多，质量好，其次为云南、四川、陕西、湖北等省，均为栽培。国内有些省区也已引种栽培。其根可入药，是最常用的中药之一。具有补血和血，调经止痛，润燥滑肠、抗癌、抗老防老、免疫之功效。    </w:t>
      </w:r>
      <w:r>
        <w:rPr>
          <w:rFonts w:hint="default" w:ascii="仿宋" w:hAnsi="仿宋" w:eastAsia="仿宋" w:cs="仿宋"/>
          <w:kern w:val="2"/>
          <w:sz w:val="32"/>
          <w:szCs w:val="32"/>
          <w:lang w:val="en-US" w:eastAsia="zh-CN" w:bidi="ar-SA"/>
        </w:rPr>
        <w:t>为低温长</w:t>
      </w:r>
      <w:r>
        <w:rPr>
          <w:rFonts w:hint="default" w:ascii="仿宋" w:hAnsi="仿宋" w:eastAsia="仿宋" w:cs="仿宋"/>
          <w:kern w:val="2"/>
          <w:sz w:val="32"/>
          <w:szCs w:val="32"/>
          <w:lang w:val="en-US" w:eastAsia="zh-CN" w:bidi="ar-SA"/>
        </w:rPr>
        <w:fldChar w:fldCharType="begin"/>
      </w:r>
      <w:r>
        <w:rPr>
          <w:rFonts w:hint="default" w:ascii="仿宋" w:hAnsi="仿宋" w:eastAsia="仿宋" w:cs="仿宋"/>
          <w:kern w:val="2"/>
          <w:sz w:val="32"/>
          <w:szCs w:val="32"/>
          <w:lang w:val="en-US" w:eastAsia="zh-CN" w:bidi="ar-SA"/>
        </w:rPr>
        <w:instrText xml:space="preserve"> HYPERLINK "https://baike.so.com/doc/6056480-6269515.html" \t "https://baike.so.com/doc/_blank" </w:instrText>
      </w:r>
      <w:r>
        <w:rPr>
          <w:rFonts w:hint="default" w:ascii="仿宋" w:hAnsi="仿宋" w:eastAsia="仿宋" w:cs="仿宋"/>
          <w:kern w:val="2"/>
          <w:sz w:val="32"/>
          <w:szCs w:val="32"/>
          <w:lang w:val="en-US" w:eastAsia="zh-CN" w:bidi="ar-SA"/>
        </w:rPr>
        <w:fldChar w:fldCharType="separate"/>
      </w:r>
      <w:r>
        <w:rPr>
          <w:rFonts w:hint="default" w:ascii="仿宋" w:hAnsi="仿宋" w:eastAsia="仿宋" w:cs="仿宋"/>
          <w:kern w:val="2"/>
          <w:sz w:val="32"/>
          <w:szCs w:val="32"/>
          <w:lang w:val="en-US" w:eastAsia="zh-CN" w:bidi="ar-SA"/>
        </w:rPr>
        <w:t>日照</w:t>
      </w:r>
      <w:r>
        <w:rPr>
          <w:rFonts w:hint="default" w:ascii="仿宋" w:hAnsi="仿宋" w:eastAsia="仿宋" w:cs="仿宋"/>
          <w:kern w:val="2"/>
          <w:sz w:val="32"/>
          <w:szCs w:val="32"/>
          <w:lang w:val="en-US" w:eastAsia="zh-CN" w:bidi="ar-SA"/>
        </w:rPr>
        <w:fldChar w:fldCharType="end"/>
      </w:r>
      <w:r>
        <w:rPr>
          <w:rFonts w:hint="default" w:ascii="仿宋" w:hAnsi="仿宋" w:eastAsia="仿宋" w:cs="仿宋"/>
          <w:kern w:val="2"/>
          <w:sz w:val="32"/>
          <w:szCs w:val="32"/>
          <w:lang w:val="en-US" w:eastAsia="zh-CN" w:bidi="ar-SA"/>
        </w:rPr>
        <w:t>作物，宜高寒凉爽气候，在海拔1500</w:t>
      </w:r>
      <w:r>
        <w:rPr>
          <w:rFonts w:hint="eastAsia" w:ascii="仿宋" w:hAnsi="仿宋" w:eastAsia="仿宋" w:cs="仿宋"/>
          <w:kern w:val="2"/>
          <w:sz w:val="32"/>
          <w:szCs w:val="32"/>
          <w:lang w:val="en-US" w:eastAsia="zh-CN" w:bidi="ar-SA"/>
        </w:rPr>
        <w:t>m</w:t>
      </w:r>
      <w:r>
        <w:rPr>
          <w:rFonts w:hint="default" w:ascii="仿宋" w:hAnsi="仿宋" w:eastAsia="仿宋" w:cs="仿宋"/>
          <w:kern w:val="2"/>
          <w:sz w:val="32"/>
          <w:szCs w:val="32"/>
          <w:lang w:val="en-US" w:eastAsia="zh-CN" w:bidi="ar-SA"/>
        </w:rPr>
        <w:t>-3000m左右均可栽培。</w:t>
      </w:r>
    </w:p>
    <w:p>
      <w:pPr>
        <w:pStyle w:val="8"/>
        <w:numPr>
          <w:ilvl w:val="0"/>
          <w:numId w:val="0"/>
        </w:numPr>
        <w:ind w:leftChars="66"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因青海省气候资源独特,极适宜当归种植，加之，青海省水土环境独特无污染，各项指标远远优于国家控制标准，互助、湟源、湟中等地种植的当归品质一流，有效成分高于《中国药典》标准的3～5倍，比主产区甘肃高1倍，青海作为当归新产区的产地优势逐渐凸显。青海地区其独特的当归属药食两用大宗药材，产品广泛用于保健、养生等领域，当归被誉为“妇科人参"，市场需求量大，价格稳定。加之药材种植技术易掌握，当年种植当年采收，收益快，群众种植积极性较高。所以青海省当归种植规模扩大十分迅速。</w:t>
      </w:r>
    </w:p>
    <w:p>
      <w:pPr>
        <w:pStyle w:val="8"/>
        <w:numPr>
          <w:ilvl w:val="0"/>
          <w:numId w:val="0"/>
        </w:numPr>
        <w:ind w:leftChars="66"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当归的加工直接关系着品质的优劣与医疗效果。因鲜当归含有60%以上的水分和药用成分挥发油,如果加工不及时,或加工不好,就会霉烂变质。但目前省内当归产地初加工各环节缺乏标准化，大多数产地初加工是由药农分散进行，集约化程度低、加工不规范、无统一标准，关键工序重复，质量难以控制。多数种植户关注的是提高产量而不是质量， 对药材产地加工技术了解很少，加上市场因素的诱惑，考虑到自身经济利益，往往忽略了加工对药材质量的影响，从而导致加工后的药材的质量差，难以达到高品质标准。甚至更多的种植户在田间地头就将鲜货销售给收购商，产品无特色，缺少市场竞争力，销售价格难以控制在有有效收益的范围内。</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鉴于以上原因</w:t>
      </w:r>
      <w:r>
        <w:rPr>
          <w:rFonts w:hint="eastAsia" w:ascii="仿宋" w:hAnsi="仿宋" w:eastAsia="仿宋" w:cs="仿宋"/>
          <w:kern w:val="2"/>
          <w:sz w:val="32"/>
          <w:szCs w:val="32"/>
          <w:lang w:val="en-US" w:eastAsia="zh-CN" w:bidi="ar-SA"/>
        </w:rPr>
        <w:t>，制定青海省当归产地初加工技术规程，规范药材采挖后的清洗、晾晒及干制等环节，让更多的合作社、种植户了解到产地初加工技术，接触初加工技术，促进青海省当归产地初级工的集约化、标准化，能有效解决目前青海省当归产品效益低的问题。</w:t>
      </w:r>
    </w:p>
    <w:p>
      <w:pPr>
        <w:pStyle w:val="7"/>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主要起草过程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1.市场调研、资料收集、试验论证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自2018年《中药材种苗繁育基地建设及产业化项目》工作开展开始，青海互丰农业科集团有限公司成立项目工作小组，对青海省当归种植产业及初加工产业现状进行了市场调研、分析、总结，最终总结出现有的突出问题，结合问题提出制定《青海省当归产地初加工技术规程》的建议，并成立标准起草小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作小组成员结合目前青海省当归等中药材产地初加工技术落后缺乏，鲜药市场价值不稳定等突出问题，制定实施方案，明确任务分工，确定工作时间及工作重点，安排工作组成员到全国各地各大中药材交易市场学习调研，查看干货市场价格及效益，到甘肃等地学习产地初级工技术，借鉴引进他们的优良的当归产地初加工技术，联合我省我县各大种植合作社开始采收、收购大量鲜当归进行产地初加工操作，在晾晒、挑件、分级、清洗、润药、切制、干燥等各个环节尝试、示范不同的技术操作，分析操作过程中的成本、药效、操作简易度等综合因素，集成适合我们本地的产地初加工技术，在结合我国相关法律法规、其他省市地方标准，总结、提炼、梳理后编写标准草案，为保证标准的科学性和实用性，小组多次看展集中讨论，进一步完善修改标准内容。并广泛征求其他单位及专家意见，结合提出的意见规范整理送审稿。</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2.资料整理、标准起草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项工作结束后，标准起草小组整理所有相关资料、数据等，开展会议，确定标准草案的编写大纲，并分工细化编写任务，参考相关国家、地方标准，结合我国相关法律法规、制定了本标准草案，为保证标准的科学性和实用性，小组多次开展集中讨论，进一步完善修改标准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3.意见征求、标准修改</w:t>
      </w:r>
      <w:bookmarkStart w:id="1" w:name="_GoBack"/>
      <w:bookmarkEnd w:id="1"/>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本意见稿完成后，广泛征求各同行单位及专家意见，结合提出的意见对稿件再次进行修改完善、规范整理，形成送审稿。</w:t>
      </w:r>
    </w:p>
    <w:p>
      <w:pPr>
        <w:pStyle w:val="7"/>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制定（修订）标准的原则和依据，与现行法律、法规、标准的关系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1.编制原则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本标准的起草过程严格按照工作计划实施，并遵循“科学性、合理性、先进性、使用性、普遍性”的原则，对标准从全面性、简便性、可操作性等方面进行了综合考虑，确保准确发布实施后能够得到有效应用。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2.制定依据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300" w:leftChars="0"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本标准严格按照《标准化工作导则 第1部分：标准化文件的结构和起草规则》的要求起草。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3.与现行法律、法规、标准的关系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本标准与国家有关法律法规、强制性标准及相关产业政策没有冲突。</w:t>
      </w:r>
    </w:p>
    <w:p>
      <w:pPr>
        <w:pStyle w:val="7"/>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 xml:space="preserve">主要条款的说明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1.范围</w:t>
      </w:r>
    </w:p>
    <w:p>
      <w:pPr>
        <w:pStyle w:val="8"/>
        <w:ind w:firstLine="42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本标准规定了当归产地初加工的术语和定义、采挖、晾晒、分级、包装、标识、储藏等技术要求。本文件适用于当归产地初加工及分级。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2.术语和定义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本标准界定了3个术语和定义，当归、鲜当归、干当归。其中，当归在本文中界定为当归干燥根，不包括全株，鲜当归指采挖后未脱水晾晒的当归根，干当归指晾晒至水分低于15%的当归根。</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320" w:leftChars="0" w:right="-483" w:rightChars="-230" w:firstLine="0" w:firstLineChars="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采挖时间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采挖不宜过早或过迟，过早根肉营养物质积累不足，根条不充实，产量低，质量差；过迟气温下降营养物质分解消耗，产量降低，质量下降，且易遇到雨雪天气，增加采挖难度，土壤冻</w:t>
      </w:r>
      <w:r>
        <w:rPr>
          <w:rFonts w:hint="eastAsia" w:ascii="微软雅黑" w:hAnsi="微软雅黑" w:eastAsia="微软雅黑" w:cs="微软雅黑"/>
          <w:i w:val="0"/>
          <w:iCs w:val="0"/>
          <w:caps w:val="0"/>
          <w:color w:val="333333"/>
          <w:spacing w:val="0"/>
          <w:sz w:val="24"/>
          <w:szCs w:val="24"/>
          <w:shd w:val="clear" w:fill="FFFFFF"/>
        </w:rPr>
        <w:t>结，</w:t>
      </w:r>
      <w:r>
        <w:rPr>
          <w:rFonts w:hint="eastAsia" w:ascii="仿宋" w:hAnsi="仿宋" w:eastAsia="仿宋" w:cs="仿宋"/>
          <w:sz w:val="32"/>
          <w:szCs w:val="32"/>
          <w:lang w:val="en-US" w:eastAsia="zh-CN"/>
        </w:rPr>
        <w:t>根易断。</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经多次田间验证，10月下旬当归茎叶开始变黄、萎，甚至枯死，此时，最适宜采收，也可按具体情况茎叶枯萎后将地面凉晒一到两周再采收，但在土壤冻结前一定要采挖完毕。采挖时小心挖起全根，抖去泥土。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4.采挖后处理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中药材采收后,除少数要求鲜用外,绝大多数需要进行产地加工。其主要目的在于:除去杂质和非药用部分,保持其纯净;进行初步处理,如蒸、煮、熏、晒等,促使其干燥,以符合商品的要求。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及时提前剔除携带病虫害、腐烂、及损伤的当归、尤其是水烂的当归，不仅保证当归整体质量，还可有效降低后期环节的成本投入。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5.晾晒</w:t>
      </w:r>
    </w:p>
    <w:p>
      <w:pPr>
        <w:pStyle w:val="8"/>
        <w:bidi w:val="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鲜归含有百分之六十的水分及药用成分挥发油，如果晾晒不及时，极易发霉、变质。经资料查询晾晒至含水量为40%左右时易于分级整形。经调研，试验发现一般最常用方法为日晒法及摊晾法两种。日晒法这是大多数当归药材常用的一种干燥方法，晾晒时，选择晴朗、有风的天气，将当归药材薄薄地摊在水泥地上，利用日光照明达到水分蒸发。当归药材不宜曝晒，暴晒时当归易出油、变色，影响质量，同时还要注意及时翻动，保证日光照射均匀，夜间因空气湿度大，要收起盖好，以防返潮。摊晾法也叫阴干法，即将当归药材放置于室内或大棚的阴凉处，利用流动的空气，吹去水分而达到干燥的目的。该方法一般用于阴雨天气较频繁的时候。</w:t>
      </w:r>
    </w:p>
    <w:p>
      <w:pPr>
        <w:pStyle w:val="8"/>
        <w:bidi w:val="0"/>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经实际操作验证，结合当地天气情况、成本、时间等综合因素，发现日晒法更加适宜本地区，秋季本地的太阳照射温度一般不会超过45</w:t>
      </w:r>
      <w:r>
        <w:rPr>
          <w:rFonts w:hint="eastAsia" w:ascii="宋体" w:hAnsi="宋体" w:eastAsia="宋体" w:cs="宋体"/>
          <w:kern w:val="2"/>
          <w:sz w:val="32"/>
          <w:szCs w:val="32"/>
          <w:lang w:val="en-US" w:eastAsia="zh-CN" w:bidi="ar-SA"/>
        </w:rPr>
        <w:t>℃</w:t>
      </w:r>
      <w:r>
        <w:rPr>
          <w:rFonts w:hint="eastAsia" w:ascii="仿宋" w:hAnsi="仿宋" w:eastAsia="仿宋" w:cs="仿宋"/>
          <w:kern w:val="2"/>
          <w:sz w:val="32"/>
          <w:szCs w:val="32"/>
          <w:lang w:val="en-US" w:eastAsia="zh-CN" w:bidi="ar-SA"/>
        </w:rPr>
        <w:t>，所以不用刻意避免阳光直晒，气候干燥、阴雨天气极少，历时时间少，经验证7天左右就能晒至根条变柔软。而摊晾法达到安全水分界限时间较长，至少需1个月左右，还需要很大的室内空间，甘肃中医学院郭玫、李应东等的《不同干燥方式对当归质量的影响》研究中表明，当归初期完成快速干燥，可明显减少挥发油的损失。所以从便利性、操作性、对药材质量的影响等综合因素出发，日晒干燥最为合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5.分级处理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经贸易市场调研发现，交易时一般会有全归、归头、股子、毛归等四个等级的要药材流通，所流通的切片也会因不同大小、不同部位、不同切制方式切制而成的切片分别包装，所以为便于按质论价、包装，需通过整形和分等,按植株大小、株型、部位等筛选出不同规格的当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挑拣归头比较小、植株完整、形状较好的当归加工成全归；挑选归头较大的（头部直径大于3cm、长度大于6cm）的当归进行削头处理。用刀削掉侧根及主根，加工成当归头。在削当归头的时候要特别注意下刀的部位及尺寸，当归削头应旋转层层下刀，下刀不能损坏当归头的肉质，应预留铜钱厚的底部，以防归头风干后缩水，在当归表面形成凹型面，影响整体买相；在加工当归头的过程中，会产生许多当归残料，可根据残料直径的大小，将直径在0.5cm以上的分为股子，将直径在0.5cm以下的分为毛归，分级后各等级当归单独晾晒、储存。</w:t>
      </w:r>
    </w:p>
    <w:p>
      <w:pPr>
        <w:pStyle w:val="7"/>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重大意见分歧的处理依据和结果</w:t>
      </w:r>
    </w:p>
    <w:p>
      <w:pPr>
        <w:numPr>
          <w:ilvl w:val="0"/>
          <w:numId w:val="0"/>
        </w:numPr>
        <w:ind w:firstLine="640" w:firstLineChars="200"/>
        <w:rPr>
          <w:rFonts w:hint="eastAsia" w:ascii="仿宋" w:hAnsi="仿宋" w:eastAsia="仿宋" w:cs="仿宋"/>
          <w:b/>
          <w:bCs/>
          <w:sz w:val="32"/>
          <w:szCs w:val="32"/>
        </w:rPr>
      </w:pPr>
      <w:r>
        <w:rPr>
          <w:rFonts w:hint="eastAsia" w:ascii="仿宋" w:hAnsi="仿宋" w:eastAsia="仿宋"/>
          <w:kern w:val="2"/>
          <w:sz w:val="32"/>
          <w:szCs w:val="32"/>
        </w:rPr>
        <w:t>本标准在制定过程中通过向中国科学院西北高原生物研究所、青海民族大学、</w:t>
      </w:r>
      <w:r>
        <w:rPr>
          <w:rFonts w:hint="eastAsia" w:ascii="仿宋" w:hAnsi="仿宋" w:eastAsia="仿宋"/>
          <w:kern w:val="2"/>
          <w:sz w:val="32"/>
          <w:szCs w:val="32"/>
          <w:lang w:eastAsia="zh-CN"/>
        </w:rPr>
        <w:t>青海师范</w:t>
      </w:r>
      <w:r>
        <w:rPr>
          <w:rFonts w:hint="eastAsia" w:ascii="仿宋" w:hAnsi="仿宋" w:eastAsia="仿宋"/>
          <w:kern w:val="2"/>
          <w:sz w:val="32"/>
          <w:szCs w:val="32"/>
        </w:rPr>
        <w:t>大学、</w:t>
      </w:r>
      <w:r>
        <w:rPr>
          <w:rFonts w:hint="eastAsia" w:ascii="仿宋" w:hAnsi="仿宋" w:eastAsia="仿宋"/>
          <w:kern w:val="2"/>
          <w:sz w:val="32"/>
          <w:szCs w:val="32"/>
          <w:lang w:eastAsia="zh-CN"/>
        </w:rPr>
        <w:t>青海省农业技术推广总站，青海大学农牧学院等</w:t>
      </w:r>
      <w:r>
        <w:rPr>
          <w:rFonts w:hint="eastAsia" w:ascii="仿宋" w:hAnsi="仿宋" w:eastAsia="仿宋"/>
          <w:kern w:val="2"/>
          <w:sz w:val="32"/>
          <w:szCs w:val="32"/>
        </w:rPr>
        <w:t>5家</w:t>
      </w:r>
      <w:r>
        <w:rPr>
          <w:rFonts w:hint="eastAsia" w:ascii="仿宋" w:hAnsi="仿宋" w:eastAsia="仿宋"/>
          <w:kern w:val="2"/>
          <w:sz w:val="32"/>
          <w:szCs w:val="32"/>
          <w:lang w:eastAsia="zh-CN"/>
        </w:rPr>
        <w:t>单位及</w:t>
      </w:r>
      <w:r>
        <w:rPr>
          <w:rFonts w:hint="eastAsia" w:ascii="仿宋" w:hAnsi="仿宋" w:eastAsia="仿宋"/>
          <w:kern w:val="2"/>
          <w:sz w:val="32"/>
          <w:szCs w:val="32"/>
        </w:rPr>
        <w:t>专家征求了意见</w:t>
      </w:r>
      <w:r>
        <w:rPr>
          <w:rFonts w:hint="eastAsia" w:ascii="仿宋" w:hAnsi="仿宋" w:eastAsia="仿宋"/>
          <w:kern w:val="2"/>
          <w:sz w:val="32"/>
          <w:szCs w:val="32"/>
          <w:lang w:eastAsia="zh-CN"/>
        </w:rPr>
        <w:t>。并根据专家意见做了修改，</w:t>
      </w:r>
      <w:r>
        <w:rPr>
          <w:rFonts w:hint="eastAsia" w:ascii="仿宋" w:hAnsi="仿宋" w:eastAsia="仿宋"/>
          <w:kern w:val="2"/>
          <w:sz w:val="32"/>
          <w:szCs w:val="32"/>
        </w:rPr>
        <w:t>详见下表。</w:t>
      </w:r>
    </w:p>
    <w:p>
      <w:pPr>
        <w:pStyle w:val="2"/>
        <w:jc w:val="center"/>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表7. 意见汇总表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627"/>
        <w:gridCol w:w="2327"/>
        <w:gridCol w:w="1403"/>
        <w:gridCol w:w="2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09"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1627"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标准条款</w:t>
            </w:r>
          </w:p>
        </w:tc>
        <w:tc>
          <w:tcPr>
            <w:tcW w:w="2327"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意见内容</w:t>
            </w:r>
          </w:p>
        </w:tc>
        <w:tc>
          <w:tcPr>
            <w:tcW w:w="1403"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提出单位</w:t>
            </w:r>
          </w:p>
        </w:tc>
        <w:tc>
          <w:tcPr>
            <w:tcW w:w="2072"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处理结果及理由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709"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627" w:type="dxa"/>
            <w:noWrap w:val="0"/>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前言</w:t>
            </w:r>
          </w:p>
        </w:tc>
        <w:tc>
          <w:tcPr>
            <w:tcW w:w="2327" w:type="dxa"/>
            <w:noWrap w:val="0"/>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缺少文件起草编制所依据的标准</w:t>
            </w:r>
          </w:p>
        </w:tc>
        <w:tc>
          <w:tcPr>
            <w:tcW w:w="1403" w:type="dxa"/>
            <w:noWrap w:val="0"/>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青海民族大学</w:t>
            </w:r>
          </w:p>
        </w:tc>
        <w:tc>
          <w:tcPr>
            <w:tcW w:w="2072" w:type="dxa"/>
            <w:noWrap w:val="0"/>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709"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627" w:type="dxa"/>
            <w:noWrap w:val="0"/>
            <w:vAlign w:val="center"/>
          </w:tcPr>
          <w:p>
            <w:pPr>
              <w:pStyle w:val="7"/>
              <w:numPr>
                <w:ilvl w:val="0"/>
                <w:numId w:val="0"/>
              </w:numPr>
              <w:ind w:leftChars="0"/>
              <w:rPr>
                <w:rFonts w:hint="eastAsia" w:ascii="仿宋" w:hAnsi="仿宋" w:eastAsia="仿宋" w:cs="仿宋"/>
                <w:kern w:val="2"/>
                <w:sz w:val="24"/>
                <w:szCs w:val="24"/>
                <w:lang w:val="en-US" w:eastAsia="zh-CN" w:bidi="ar-SA"/>
              </w:rPr>
            </w:pPr>
            <w:bookmarkStart w:id="0" w:name="_Toc25969"/>
            <w:r>
              <w:rPr>
                <w:rFonts w:hint="eastAsia" w:ascii="仿宋" w:hAnsi="仿宋" w:eastAsia="仿宋" w:cs="仿宋"/>
                <w:kern w:val="2"/>
                <w:sz w:val="24"/>
                <w:szCs w:val="24"/>
                <w:lang w:val="en-US" w:eastAsia="zh-CN" w:bidi="ar-SA"/>
              </w:rPr>
              <w:t>2 规范性引用文件</w:t>
            </w:r>
            <w:bookmarkEnd w:id="0"/>
          </w:p>
          <w:p>
            <w:pPr>
              <w:jc w:val="center"/>
              <w:rPr>
                <w:rFonts w:hint="eastAsia" w:ascii="仿宋" w:hAnsi="仿宋" w:eastAsia="仿宋" w:cs="仿宋"/>
                <w:sz w:val="24"/>
                <w:szCs w:val="24"/>
                <w:lang w:val="en-US" w:eastAsia="zh-CN"/>
              </w:rPr>
            </w:pPr>
          </w:p>
        </w:tc>
        <w:tc>
          <w:tcPr>
            <w:tcW w:w="2327"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所引用文件未按GB1.1要求排列</w:t>
            </w:r>
          </w:p>
        </w:tc>
        <w:tc>
          <w:tcPr>
            <w:tcW w:w="1403" w:type="dxa"/>
            <w:noWrap w:val="0"/>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青海省农业技术推广总站</w:t>
            </w:r>
          </w:p>
        </w:tc>
        <w:tc>
          <w:tcPr>
            <w:tcW w:w="2072"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709"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627"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术语和定义</w:t>
            </w:r>
          </w:p>
        </w:tc>
        <w:tc>
          <w:tcPr>
            <w:tcW w:w="2327"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各项术语和定义可按实际环节依次定义为妥。</w:t>
            </w:r>
          </w:p>
        </w:tc>
        <w:tc>
          <w:tcPr>
            <w:tcW w:w="1403"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青海大学</w:t>
            </w:r>
          </w:p>
        </w:tc>
        <w:tc>
          <w:tcPr>
            <w:tcW w:w="2072"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709"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627"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 采挖后处理</w:t>
            </w:r>
          </w:p>
        </w:tc>
        <w:tc>
          <w:tcPr>
            <w:tcW w:w="2327"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语句描述不通顺，重新表述</w:t>
            </w:r>
          </w:p>
        </w:tc>
        <w:tc>
          <w:tcPr>
            <w:tcW w:w="1403"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青海师范大学</w:t>
            </w:r>
          </w:p>
        </w:tc>
        <w:tc>
          <w:tcPr>
            <w:tcW w:w="2072"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jc w:val="center"/>
        </w:trPr>
        <w:tc>
          <w:tcPr>
            <w:tcW w:w="709"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627" w:type="dxa"/>
            <w:noWrap w:val="0"/>
            <w:vAlign w:val="center"/>
          </w:tcPr>
          <w:p>
            <w:pPr>
              <w:ind w:firstLine="240" w:firstLineChars="1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10干燥</w:t>
            </w:r>
          </w:p>
        </w:tc>
        <w:tc>
          <w:tcPr>
            <w:tcW w:w="2327"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10.1与10.2 对于干燥技术的描述出现矛盾</w:t>
            </w:r>
          </w:p>
        </w:tc>
        <w:tc>
          <w:tcPr>
            <w:tcW w:w="1403"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中国科学院西北高原生物研究所</w:t>
            </w:r>
          </w:p>
        </w:tc>
        <w:tc>
          <w:tcPr>
            <w:tcW w:w="2072" w:type="dxa"/>
            <w:noWrap w:val="0"/>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未采纳，10.1描述的是切记不可暴晒和高温，10.2描述在晒干时温度不可超过40℃，也是表达不可暴晒的原因，所以不矛盾。</w:t>
            </w:r>
          </w:p>
        </w:tc>
      </w:tr>
    </w:tbl>
    <w:p>
      <w:pPr>
        <w:rPr>
          <w:rFonts w:hint="eastAsia"/>
          <w:lang w:val="en-US" w:eastAsia="zh-CN"/>
        </w:rPr>
      </w:pP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outlineLvl w:val="0"/>
        <w:rPr>
          <w:rFonts w:hint="default" w:ascii="黑体" w:hAnsi="Times New Roman" w:eastAsia="黑体" w:cs="Times New Roman"/>
          <w:kern w:val="2"/>
          <w:sz w:val="32"/>
          <w:szCs w:val="32"/>
          <w:lang w:val="en-US" w:eastAsia="zh-CN" w:bidi="ar-SA"/>
        </w:rPr>
      </w:pPr>
      <w:r>
        <w:rPr>
          <w:rFonts w:hint="eastAsia" w:cs="Times New Roman"/>
          <w:kern w:val="2"/>
          <w:sz w:val="32"/>
          <w:szCs w:val="32"/>
          <w:lang w:val="en-US" w:eastAsia="zh-CN" w:bidi="ar-SA"/>
        </w:rPr>
        <w:t>七、</w:t>
      </w:r>
      <w:r>
        <w:rPr>
          <w:rFonts w:hint="eastAsia" w:ascii="黑体" w:hAnsi="Times New Roman" w:eastAsia="黑体" w:cs="Times New Roman"/>
          <w:kern w:val="2"/>
          <w:sz w:val="32"/>
          <w:szCs w:val="32"/>
          <w:lang w:val="en-US" w:eastAsia="zh-CN" w:bidi="ar-SA"/>
        </w:rPr>
        <w:t>采用国际标准和国外先进标准情况</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无</w:t>
      </w:r>
    </w:p>
    <w:p>
      <w:pPr>
        <w:numPr>
          <w:ilvl w:val="0"/>
          <w:numId w:val="5"/>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贯彻实施标准的要求及措施</w:t>
      </w:r>
    </w:p>
    <w:p>
      <w:pPr>
        <w:numPr>
          <w:ilvl w:val="0"/>
          <w:numId w:val="0"/>
        </w:numPr>
        <w:ind w:firstLine="640" w:firstLineChars="200"/>
        <w:rPr>
          <w:rFonts w:hint="default" w:ascii="仿宋" w:hAnsi="仿宋" w:eastAsia="仿宋"/>
          <w:kern w:val="2"/>
          <w:sz w:val="32"/>
          <w:szCs w:val="32"/>
          <w:lang w:val="en-US" w:eastAsia="zh-CN"/>
        </w:rPr>
      </w:pPr>
      <w:r>
        <w:rPr>
          <w:rFonts w:hint="default" w:ascii="仿宋" w:hAnsi="仿宋" w:eastAsia="仿宋"/>
          <w:kern w:val="2"/>
          <w:sz w:val="32"/>
          <w:szCs w:val="32"/>
          <w:lang w:val="en-US" w:eastAsia="zh-CN"/>
        </w:rPr>
        <w:t>本标准发布实施后，建议标准的制定单位</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管理单位，以及与标准涉及内容相联系的相关单位能够积极宣传本标准的突出适用性，并积极推广本标准在我省境内的使用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在广泛宣传的同时，以重点乡镇、种植大户、合作社为中心，严格按照技术规程组织实施</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针对不同的对象，有侧重点地进行培训和宣传，提高技术到位率和农民的技术素质，充分发挥本技术规程的作用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做到标准生产、规范生产、发挥标准在农业生产中应有的作用，推动当归</w:t>
      </w:r>
      <w:r>
        <w:rPr>
          <w:rFonts w:hint="eastAsia" w:ascii="仿宋" w:hAnsi="仿宋" w:eastAsia="仿宋"/>
          <w:kern w:val="2"/>
          <w:sz w:val="32"/>
          <w:szCs w:val="32"/>
          <w:lang w:val="en-US" w:eastAsia="zh-CN"/>
        </w:rPr>
        <w:t>产地初加工</w:t>
      </w:r>
      <w:r>
        <w:rPr>
          <w:rFonts w:hint="default" w:ascii="仿宋" w:hAnsi="仿宋" w:eastAsia="仿宋"/>
          <w:kern w:val="2"/>
          <w:sz w:val="32"/>
          <w:szCs w:val="32"/>
          <w:lang w:val="en-US" w:eastAsia="zh-CN"/>
        </w:rPr>
        <w:t>产业向标准化方向发展。同时,建议本标准的制定人或单位适时将本标准的管理单位、使用人或单位针对本标准在管理或实施过程遇到的管理或技术问题反馈回来的意见进行整理，以便对本标准进行修订，从而更加提升本标准的科学性和适用性</w:t>
      </w:r>
      <w:r>
        <w:rPr>
          <w:rFonts w:hint="eastAsia" w:ascii="仿宋" w:hAnsi="仿宋" w:eastAsia="仿宋"/>
          <w:kern w:val="2"/>
          <w:sz w:val="32"/>
          <w:szCs w:val="32"/>
          <w:lang w:val="en-US" w:eastAsia="zh-CN"/>
        </w:rPr>
        <w:t>。</w:t>
      </w:r>
    </w:p>
    <w:p>
      <w:pPr>
        <w:numPr>
          <w:ilvl w:val="0"/>
          <w:numId w:val="5"/>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预期的经济和社会效益</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本标准可规范当归产地初加工，促进当归产地初加工产业化发展，提高其产量和品质，合理优化农民种植结构调整，实现可持续利用，提高农民收入，满足当归药材市场需求等都具有重要意义。可以预期本标准在发布实施以后，可以一定程度上规范我省当归产地初加工，解决目前青海省当归产地初加工技术落后，农户只能以鲜药出售，效益低的问题。通过标准指导当归产地初加工，满足市场需求，有效地把产品优势转化为经济优势，对促进青海中药材产业发展，创建我省优质中药材品牌都将发挥重要作用。</w:t>
      </w:r>
    </w:p>
    <w:p>
      <w:pPr>
        <w:numPr>
          <w:ilvl w:val="0"/>
          <w:numId w:val="0"/>
        </w:numPr>
        <w:ind w:firstLine="643" w:firstLineChars="200"/>
        <w:rPr>
          <w:rFonts w:hint="eastAsia" w:ascii="仿宋" w:hAnsi="仿宋" w:eastAsia="仿宋"/>
          <w:b/>
          <w:bCs/>
          <w:kern w:val="2"/>
          <w:sz w:val="32"/>
          <w:szCs w:val="32"/>
          <w:lang w:val="en-US" w:eastAsia="zh-CN"/>
        </w:rPr>
      </w:pPr>
      <w:r>
        <w:rPr>
          <w:rFonts w:hint="eastAsia" w:ascii="仿宋" w:hAnsi="仿宋" w:eastAsia="仿宋"/>
          <w:b/>
          <w:bCs/>
          <w:kern w:val="2"/>
          <w:sz w:val="32"/>
          <w:szCs w:val="32"/>
          <w:lang w:val="en-US" w:eastAsia="zh-CN"/>
        </w:rPr>
        <w:t>本标准自发布实施5年后进行修订。</w:t>
      </w:r>
    </w:p>
    <w:p>
      <w:pPr>
        <w:numPr>
          <w:ilvl w:val="0"/>
          <w:numId w:val="0"/>
        </w:numPr>
        <w:ind w:firstLine="2560" w:firstLineChars="800"/>
        <w:rPr>
          <w:rFonts w:hint="default" w:ascii="仿宋" w:hAnsi="仿宋" w:eastAsia="仿宋"/>
          <w:kern w:val="2"/>
          <w:sz w:val="32"/>
          <w:szCs w:val="32"/>
          <w:lang w:val="en-US" w:eastAsia="zh-CN"/>
        </w:rPr>
      </w:pPr>
      <w:r>
        <w:rPr>
          <w:rFonts w:hint="eastAsia" w:ascii="仿宋" w:hAnsi="仿宋" w:eastAsia="仿宋"/>
          <w:kern w:val="2"/>
          <w:sz w:val="32"/>
          <w:szCs w:val="32"/>
          <w:lang w:val="en-US" w:eastAsia="zh-CN"/>
        </w:rPr>
        <w:t>《当归产地初加工及分级》标准起草小组</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345D1"/>
    <w:multiLevelType w:val="multilevel"/>
    <w:tmpl w:val="923345D1"/>
    <w:lvl w:ilvl="0" w:tentative="0">
      <w:start w:val="1"/>
      <w:numFmt w:val="lowerLetter"/>
      <w:pStyle w:val="9"/>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9767EC64"/>
    <w:multiLevelType w:val="singleLevel"/>
    <w:tmpl w:val="9767EC64"/>
    <w:lvl w:ilvl="0" w:tentative="0">
      <w:start w:val="8"/>
      <w:numFmt w:val="chineseCounting"/>
      <w:suff w:val="nothing"/>
      <w:lvlText w:val="%1、"/>
      <w:lvlJc w:val="left"/>
      <w:rPr>
        <w:rFonts w:hint="eastAsia"/>
      </w:rPr>
    </w:lvl>
  </w:abstractNum>
  <w:abstractNum w:abstractNumId="2">
    <w:nsid w:val="D40836A6"/>
    <w:multiLevelType w:val="singleLevel"/>
    <w:tmpl w:val="D40836A6"/>
    <w:lvl w:ilvl="0" w:tentative="0">
      <w:start w:val="3"/>
      <w:numFmt w:val="decimal"/>
      <w:lvlText w:val="%1."/>
      <w:lvlJc w:val="left"/>
      <w:pPr>
        <w:tabs>
          <w:tab w:val="left" w:pos="312"/>
        </w:tabs>
        <w:ind w:left="320" w:leftChars="0" w:firstLine="0" w:firstLineChars="0"/>
      </w:pPr>
    </w:lvl>
  </w:abstractNum>
  <w:abstractNum w:abstractNumId="3">
    <w:nsid w:val="1868437B"/>
    <w:multiLevelType w:val="singleLevel"/>
    <w:tmpl w:val="1868437B"/>
    <w:lvl w:ilvl="0" w:tentative="0">
      <w:start w:val="3"/>
      <w:numFmt w:val="chineseCounting"/>
      <w:suff w:val="nothing"/>
      <w:lvlText w:val="（%1）"/>
      <w:lvlJc w:val="left"/>
      <w:rPr>
        <w:rFonts w:hint="eastAsia"/>
      </w:rPr>
    </w:lvl>
  </w:abstractNum>
  <w:abstractNum w:abstractNumId="4">
    <w:nsid w:val="1A5D269B"/>
    <w:multiLevelType w:val="multilevel"/>
    <w:tmpl w:val="1A5D269B"/>
    <w:lvl w:ilvl="0" w:tentative="0">
      <w:start w:val="1"/>
      <w:numFmt w:val="chineseCountingThousand"/>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0762FC"/>
    <w:rsid w:val="010762FC"/>
    <w:rsid w:val="02BD0C63"/>
    <w:rsid w:val="02FB17F1"/>
    <w:rsid w:val="05BD2B6E"/>
    <w:rsid w:val="060B7710"/>
    <w:rsid w:val="091503AF"/>
    <w:rsid w:val="092A45D2"/>
    <w:rsid w:val="0A6C179F"/>
    <w:rsid w:val="0FAB6FEA"/>
    <w:rsid w:val="157D6D1E"/>
    <w:rsid w:val="1DF65AD9"/>
    <w:rsid w:val="208D1434"/>
    <w:rsid w:val="251C075D"/>
    <w:rsid w:val="299D33B9"/>
    <w:rsid w:val="2BA30558"/>
    <w:rsid w:val="2D594AA9"/>
    <w:rsid w:val="333D2B09"/>
    <w:rsid w:val="33455DB8"/>
    <w:rsid w:val="3836124F"/>
    <w:rsid w:val="39D711A7"/>
    <w:rsid w:val="40BE54A5"/>
    <w:rsid w:val="41ED1C40"/>
    <w:rsid w:val="453C51CA"/>
    <w:rsid w:val="47C60EC0"/>
    <w:rsid w:val="4B7C6FF8"/>
    <w:rsid w:val="4B891ABF"/>
    <w:rsid w:val="4EA44380"/>
    <w:rsid w:val="50AB5E9F"/>
    <w:rsid w:val="61F702C8"/>
    <w:rsid w:val="75B31B14"/>
    <w:rsid w:val="7AD067DD"/>
    <w:rsid w:val="7E2E0036"/>
    <w:rsid w:val="7F3D017F"/>
    <w:rsid w:val="7F776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1"/>
    <w:unhideWhenUsed/>
    <w:qFormat/>
    <w:uiPriority w:val="0"/>
    <w:rPr>
      <w:rFonts w:ascii="Arial" w:hAnsi="Arial" w:eastAsia="黑体"/>
      <w:sz w:val="20"/>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章标题"/>
    <w:next w:val="8"/>
    <w:qFormat/>
    <w:uiPriority w:val="0"/>
    <w:p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9">
    <w:name w:val="字母编号列项（一级）"/>
    <w:qFormat/>
    <w:uiPriority w:val="0"/>
    <w:pPr>
      <w:numPr>
        <w:ilvl w:val="0"/>
        <w:numId w:val="1"/>
      </w:numPr>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2021-01-14T03:46:00Z</dcterms:created>
  <dc:creator>泡沫</dc:creator>
  <cp:lastModifiedBy>泡沫</cp:lastModifiedBy>
  <cp:lastPrinted>2021-12-13T02:51:00Z</cp:lastPrinted>
  <dcterms:modified xsi:type="dcterms:W3CDTF">2022-03-04T08:23:41Z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FDCEB428564C4FC1BA24DCD770A719D7</vt:lpwstr>
  </property>
</Properties>
</file>